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36664" w14:textId="596BB051" w:rsidR="00B67EB0" w:rsidRPr="00DF3807" w:rsidRDefault="00B67EB0" w:rsidP="002A1EA7">
      <w:pPr>
        <w:spacing w:before="100" w:beforeAutospacing="1"/>
        <w:jc w:val="center"/>
        <w:rPr>
          <w:b/>
          <w:bCs/>
          <w:sz w:val="22"/>
          <w:szCs w:val="22"/>
          <w:u w:val="single"/>
        </w:rPr>
      </w:pPr>
      <w:r w:rsidRPr="00DF3807">
        <w:rPr>
          <w:b/>
          <w:bCs/>
          <w:sz w:val="22"/>
          <w:szCs w:val="22"/>
          <w:u w:val="single"/>
        </w:rPr>
        <w:t>Annual Complaint Handling &amp; Service Improvement Plan</w:t>
      </w:r>
    </w:p>
    <w:p w14:paraId="11369A5A" w14:textId="1143BDAA" w:rsidR="00B67EB0" w:rsidRPr="00DF3807" w:rsidRDefault="00B67EB0" w:rsidP="00B67EB0">
      <w:pPr>
        <w:rPr>
          <w:b/>
          <w:bCs/>
          <w:sz w:val="22"/>
          <w:szCs w:val="22"/>
        </w:rPr>
      </w:pPr>
      <w:r w:rsidRPr="00DF3807">
        <w:rPr>
          <w:b/>
          <w:bCs/>
          <w:sz w:val="22"/>
          <w:szCs w:val="22"/>
        </w:rPr>
        <w:t>Governing Body Response</w:t>
      </w:r>
    </w:p>
    <w:p w14:paraId="43737B3D" w14:textId="6240BECC" w:rsidR="00B67EB0" w:rsidRPr="00DF3807" w:rsidRDefault="00B67EB0" w:rsidP="00B67EB0">
      <w:pPr>
        <w:rPr>
          <w:sz w:val="22"/>
          <w:szCs w:val="22"/>
        </w:rPr>
      </w:pPr>
      <w:r w:rsidRPr="00DF3807">
        <w:rPr>
          <w:sz w:val="22"/>
          <w:szCs w:val="22"/>
        </w:rPr>
        <w:t xml:space="preserve">Auckland Home Solutions CIC </w:t>
      </w:r>
      <w:r w:rsidR="002A1EA7">
        <w:rPr>
          <w:sz w:val="22"/>
          <w:szCs w:val="22"/>
        </w:rPr>
        <w:t xml:space="preserve">(AHS) </w:t>
      </w:r>
      <w:r w:rsidRPr="00DF3807">
        <w:rPr>
          <w:sz w:val="22"/>
          <w:szCs w:val="22"/>
        </w:rPr>
        <w:t xml:space="preserve">are pleased to publish the following documents: </w:t>
      </w:r>
    </w:p>
    <w:p w14:paraId="2F3A9C7C" w14:textId="641FDD11" w:rsidR="00B67EB0" w:rsidRPr="00DF3807" w:rsidRDefault="00B67EB0" w:rsidP="00B67EB0">
      <w:pPr>
        <w:pStyle w:val="ListParagraph"/>
        <w:numPr>
          <w:ilvl w:val="0"/>
          <w:numId w:val="1"/>
        </w:numPr>
        <w:rPr>
          <w:sz w:val="22"/>
          <w:szCs w:val="22"/>
        </w:rPr>
      </w:pPr>
      <w:r w:rsidRPr="00DF3807">
        <w:rPr>
          <w:sz w:val="22"/>
          <w:szCs w:val="22"/>
        </w:rPr>
        <w:t>Housing Ombudsman Self-Assessment</w:t>
      </w:r>
    </w:p>
    <w:p w14:paraId="3F221C2F" w14:textId="7153D1AE" w:rsidR="00B67EB0" w:rsidRPr="00DF3807" w:rsidRDefault="00B67EB0" w:rsidP="00B67EB0">
      <w:pPr>
        <w:pStyle w:val="ListParagraph"/>
        <w:numPr>
          <w:ilvl w:val="0"/>
          <w:numId w:val="1"/>
        </w:numPr>
        <w:rPr>
          <w:sz w:val="22"/>
          <w:szCs w:val="22"/>
        </w:rPr>
      </w:pPr>
      <w:r w:rsidRPr="00DF3807">
        <w:rPr>
          <w:sz w:val="22"/>
          <w:szCs w:val="22"/>
        </w:rPr>
        <w:t>Annual Complaint Handling &amp; Service Improvement Plan</w:t>
      </w:r>
    </w:p>
    <w:p w14:paraId="0FD2591E" w14:textId="356ABC17" w:rsidR="00B67EB0" w:rsidRPr="00DF3807" w:rsidRDefault="00B67EB0" w:rsidP="00B67EB0">
      <w:pPr>
        <w:pStyle w:val="ListParagraph"/>
        <w:numPr>
          <w:ilvl w:val="0"/>
          <w:numId w:val="1"/>
        </w:numPr>
        <w:rPr>
          <w:sz w:val="22"/>
          <w:szCs w:val="22"/>
        </w:rPr>
      </w:pPr>
      <w:r w:rsidRPr="00DF3807">
        <w:rPr>
          <w:sz w:val="22"/>
          <w:szCs w:val="22"/>
        </w:rPr>
        <w:t>Updated Resolving Complaints Policy</w:t>
      </w:r>
    </w:p>
    <w:p w14:paraId="448648A5" w14:textId="47665DF1" w:rsidR="00B67EB0" w:rsidRPr="00DF3807" w:rsidRDefault="00A76381" w:rsidP="00B67EB0">
      <w:pPr>
        <w:rPr>
          <w:sz w:val="22"/>
          <w:szCs w:val="22"/>
        </w:rPr>
      </w:pPr>
      <w:r w:rsidRPr="00DF3807">
        <w:rPr>
          <w:sz w:val="22"/>
          <w:szCs w:val="22"/>
          <w:highlight w:val="yellow"/>
        </w:rPr>
        <w:t xml:space="preserve">The </w:t>
      </w:r>
      <w:r w:rsidR="00D41537">
        <w:rPr>
          <w:sz w:val="22"/>
          <w:szCs w:val="22"/>
          <w:highlight w:val="yellow"/>
        </w:rPr>
        <w:t xml:space="preserve">AHS </w:t>
      </w:r>
      <w:r w:rsidRPr="00DF3807">
        <w:rPr>
          <w:sz w:val="22"/>
          <w:szCs w:val="22"/>
          <w:highlight w:val="yellow"/>
        </w:rPr>
        <w:t xml:space="preserve">Board has reviewed </w:t>
      </w:r>
      <w:r w:rsidR="00BB3F4F" w:rsidRPr="00B43AFF">
        <w:rPr>
          <w:sz w:val="22"/>
          <w:szCs w:val="22"/>
          <w:highlight w:val="yellow"/>
        </w:rPr>
        <w:t xml:space="preserve">and endorsed </w:t>
      </w:r>
      <w:r w:rsidRPr="00DF3807">
        <w:rPr>
          <w:sz w:val="22"/>
          <w:szCs w:val="22"/>
          <w:highlight w:val="yellow"/>
        </w:rPr>
        <w:t>the</w:t>
      </w:r>
      <w:r w:rsidR="00D41537">
        <w:rPr>
          <w:sz w:val="22"/>
          <w:szCs w:val="22"/>
          <w:highlight w:val="yellow"/>
        </w:rPr>
        <w:t>se</w:t>
      </w:r>
      <w:r w:rsidRPr="00DF3807">
        <w:rPr>
          <w:sz w:val="22"/>
          <w:szCs w:val="22"/>
          <w:highlight w:val="yellow"/>
        </w:rPr>
        <w:t xml:space="preserve"> documents</w:t>
      </w:r>
      <w:r w:rsidR="00D41537">
        <w:rPr>
          <w:sz w:val="22"/>
          <w:szCs w:val="22"/>
          <w:highlight w:val="yellow"/>
        </w:rPr>
        <w:t>.</w:t>
      </w:r>
    </w:p>
    <w:p w14:paraId="53F0CE26" w14:textId="70CEA1CA" w:rsidR="00B67EB0" w:rsidRPr="00B90A66" w:rsidRDefault="00B67EB0" w:rsidP="00B90A66">
      <w:pPr>
        <w:pStyle w:val="ListParagraph"/>
        <w:numPr>
          <w:ilvl w:val="0"/>
          <w:numId w:val="2"/>
        </w:numPr>
        <w:rPr>
          <w:b/>
          <w:bCs/>
          <w:sz w:val="22"/>
          <w:szCs w:val="22"/>
          <w:u w:val="single"/>
        </w:rPr>
      </w:pPr>
      <w:r w:rsidRPr="00B90A66">
        <w:rPr>
          <w:b/>
          <w:bCs/>
          <w:sz w:val="22"/>
          <w:szCs w:val="22"/>
          <w:u w:val="single"/>
        </w:rPr>
        <w:t xml:space="preserve">Stage 1 Complaints Received 01/04/2024 – </w:t>
      </w:r>
      <w:r w:rsidR="00D050EB">
        <w:rPr>
          <w:b/>
          <w:bCs/>
          <w:sz w:val="22"/>
          <w:szCs w:val="22"/>
          <w:u w:val="single"/>
        </w:rPr>
        <w:t>31/03</w:t>
      </w:r>
      <w:r w:rsidRPr="00B90A66">
        <w:rPr>
          <w:b/>
          <w:bCs/>
          <w:sz w:val="22"/>
          <w:szCs w:val="22"/>
          <w:u w:val="single"/>
        </w:rPr>
        <w:t>/2025</w:t>
      </w:r>
    </w:p>
    <w:p w14:paraId="4E34F52F" w14:textId="7C80B7CF" w:rsidR="00B90A66" w:rsidRPr="00B90A66" w:rsidRDefault="00B90A66" w:rsidP="00B90A66">
      <w:pPr>
        <w:pStyle w:val="ListParagraph"/>
        <w:numPr>
          <w:ilvl w:val="1"/>
          <w:numId w:val="2"/>
        </w:numPr>
        <w:rPr>
          <w:b/>
          <w:bCs/>
          <w:sz w:val="22"/>
          <w:szCs w:val="22"/>
        </w:rPr>
      </w:pPr>
      <w:r>
        <w:rPr>
          <w:b/>
          <w:bCs/>
          <w:sz w:val="22"/>
          <w:szCs w:val="22"/>
        </w:rPr>
        <w:t>Complaint Summary</w:t>
      </w:r>
    </w:p>
    <w:tbl>
      <w:tblPr>
        <w:tblStyle w:val="TableGrid"/>
        <w:tblW w:w="0" w:type="auto"/>
        <w:tblLook w:val="04A0" w:firstRow="1" w:lastRow="0" w:firstColumn="1" w:lastColumn="0" w:noHBand="0" w:noVBand="1"/>
      </w:tblPr>
      <w:tblGrid>
        <w:gridCol w:w="1413"/>
        <w:gridCol w:w="2551"/>
        <w:gridCol w:w="5052"/>
      </w:tblGrid>
      <w:tr w:rsidR="00B67EB0" w:rsidRPr="00DF3807" w14:paraId="20E8D6E4" w14:textId="77777777" w:rsidTr="00971385">
        <w:tc>
          <w:tcPr>
            <w:tcW w:w="1413" w:type="dxa"/>
            <w:shd w:val="clear" w:color="auto" w:fill="0B769F" w:themeFill="accent4" w:themeFillShade="BF"/>
          </w:tcPr>
          <w:p w14:paraId="5CF876D9" w14:textId="497A69F6" w:rsidR="00B67EB0" w:rsidRPr="00DF3807" w:rsidRDefault="00B67EB0" w:rsidP="00B67EB0">
            <w:pPr>
              <w:rPr>
                <w:b/>
                <w:bCs/>
                <w:color w:val="FFFFFF" w:themeColor="background1"/>
                <w:sz w:val="22"/>
                <w:szCs w:val="22"/>
              </w:rPr>
            </w:pPr>
            <w:r w:rsidRPr="00DF3807">
              <w:rPr>
                <w:b/>
                <w:bCs/>
                <w:color w:val="FFFFFF" w:themeColor="background1"/>
                <w:sz w:val="22"/>
                <w:szCs w:val="22"/>
              </w:rPr>
              <w:t>Number of Complaints</w:t>
            </w:r>
          </w:p>
        </w:tc>
        <w:tc>
          <w:tcPr>
            <w:tcW w:w="2551" w:type="dxa"/>
            <w:shd w:val="clear" w:color="auto" w:fill="0B769F" w:themeFill="accent4" w:themeFillShade="BF"/>
          </w:tcPr>
          <w:p w14:paraId="42F4576C" w14:textId="24CE99BA" w:rsidR="00B67EB0" w:rsidRPr="00DF3807" w:rsidRDefault="00B67EB0" w:rsidP="00B67EB0">
            <w:pPr>
              <w:rPr>
                <w:b/>
                <w:bCs/>
                <w:color w:val="FFFFFF" w:themeColor="background1"/>
                <w:sz w:val="22"/>
                <w:szCs w:val="22"/>
              </w:rPr>
            </w:pPr>
            <w:r w:rsidRPr="00DF3807">
              <w:rPr>
                <w:b/>
                <w:bCs/>
                <w:color w:val="FFFFFF" w:themeColor="background1"/>
                <w:sz w:val="22"/>
                <w:szCs w:val="22"/>
              </w:rPr>
              <w:t>Type of Complaint</w:t>
            </w:r>
          </w:p>
        </w:tc>
        <w:tc>
          <w:tcPr>
            <w:tcW w:w="5052" w:type="dxa"/>
            <w:shd w:val="clear" w:color="auto" w:fill="0B769F" w:themeFill="accent4" w:themeFillShade="BF"/>
          </w:tcPr>
          <w:p w14:paraId="32CA95FD" w14:textId="56488303" w:rsidR="00B67EB0" w:rsidRPr="00DF3807" w:rsidRDefault="00B67EB0" w:rsidP="00B67EB0">
            <w:pPr>
              <w:rPr>
                <w:b/>
                <w:bCs/>
                <w:color w:val="FFFFFF" w:themeColor="background1"/>
                <w:sz w:val="22"/>
                <w:szCs w:val="22"/>
              </w:rPr>
            </w:pPr>
            <w:r w:rsidRPr="00DF3807">
              <w:rPr>
                <w:b/>
                <w:bCs/>
                <w:color w:val="FFFFFF" w:themeColor="background1"/>
                <w:sz w:val="22"/>
                <w:szCs w:val="22"/>
              </w:rPr>
              <w:t xml:space="preserve">Summary </w:t>
            </w:r>
          </w:p>
        </w:tc>
      </w:tr>
      <w:tr w:rsidR="00B67EB0" w:rsidRPr="00DF3807" w14:paraId="6044AC2F" w14:textId="77777777" w:rsidTr="00971385">
        <w:tc>
          <w:tcPr>
            <w:tcW w:w="1413" w:type="dxa"/>
          </w:tcPr>
          <w:p w14:paraId="1F88A359" w14:textId="6819BF6B" w:rsidR="00B67EB0" w:rsidRPr="00DF3807" w:rsidRDefault="00435B89" w:rsidP="00B67EB0">
            <w:pPr>
              <w:rPr>
                <w:sz w:val="22"/>
                <w:szCs w:val="22"/>
              </w:rPr>
            </w:pPr>
            <w:r w:rsidRPr="00DF3807">
              <w:rPr>
                <w:sz w:val="22"/>
                <w:szCs w:val="22"/>
              </w:rPr>
              <w:t>1</w:t>
            </w:r>
          </w:p>
        </w:tc>
        <w:tc>
          <w:tcPr>
            <w:tcW w:w="2551" w:type="dxa"/>
          </w:tcPr>
          <w:p w14:paraId="57EF61DA" w14:textId="51B593BB" w:rsidR="00B67EB0" w:rsidRPr="00DF3807" w:rsidRDefault="00435B89" w:rsidP="00B67EB0">
            <w:pPr>
              <w:rPr>
                <w:sz w:val="22"/>
                <w:szCs w:val="22"/>
              </w:rPr>
            </w:pPr>
            <w:r w:rsidRPr="00DF3807">
              <w:rPr>
                <w:sz w:val="22"/>
                <w:szCs w:val="22"/>
              </w:rPr>
              <w:t>Staff</w:t>
            </w:r>
          </w:p>
        </w:tc>
        <w:tc>
          <w:tcPr>
            <w:tcW w:w="5052" w:type="dxa"/>
          </w:tcPr>
          <w:p w14:paraId="1589BDD7" w14:textId="447727CC" w:rsidR="00B67EB0" w:rsidRPr="00DF3807" w:rsidRDefault="00435B89" w:rsidP="00B67EB0">
            <w:pPr>
              <w:rPr>
                <w:sz w:val="22"/>
                <w:szCs w:val="22"/>
              </w:rPr>
            </w:pPr>
            <w:r w:rsidRPr="00DF3807">
              <w:rPr>
                <w:sz w:val="22"/>
                <w:szCs w:val="22"/>
              </w:rPr>
              <w:t xml:space="preserve">1 - Complaint concerning failures to communicate </w:t>
            </w:r>
          </w:p>
        </w:tc>
      </w:tr>
      <w:tr w:rsidR="00B67EB0" w:rsidRPr="00DF3807" w14:paraId="4D229094" w14:textId="77777777" w:rsidTr="00971385">
        <w:tc>
          <w:tcPr>
            <w:tcW w:w="1413" w:type="dxa"/>
          </w:tcPr>
          <w:p w14:paraId="458E6110" w14:textId="4E7AC68C" w:rsidR="00B67EB0" w:rsidRPr="00DF3807" w:rsidRDefault="00435B89" w:rsidP="00B67EB0">
            <w:pPr>
              <w:rPr>
                <w:sz w:val="22"/>
                <w:szCs w:val="22"/>
              </w:rPr>
            </w:pPr>
            <w:r w:rsidRPr="00DF3807">
              <w:rPr>
                <w:sz w:val="22"/>
                <w:szCs w:val="22"/>
              </w:rPr>
              <w:t>1</w:t>
            </w:r>
          </w:p>
        </w:tc>
        <w:tc>
          <w:tcPr>
            <w:tcW w:w="2551" w:type="dxa"/>
          </w:tcPr>
          <w:p w14:paraId="022E826D" w14:textId="49A3CB87" w:rsidR="00B67EB0" w:rsidRPr="00DF3807" w:rsidRDefault="00435B89" w:rsidP="00B67EB0">
            <w:pPr>
              <w:rPr>
                <w:sz w:val="22"/>
                <w:szCs w:val="22"/>
              </w:rPr>
            </w:pPr>
            <w:r w:rsidRPr="00DF3807">
              <w:rPr>
                <w:sz w:val="22"/>
                <w:szCs w:val="22"/>
              </w:rPr>
              <w:t>Maintenance Visits</w:t>
            </w:r>
          </w:p>
        </w:tc>
        <w:tc>
          <w:tcPr>
            <w:tcW w:w="5052" w:type="dxa"/>
          </w:tcPr>
          <w:p w14:paraId="4D4E3A62" w14:textId="3CCE9695" w:rsidR="00B67EB0" w:rsidRPr="00DF3807" w:rsidRDefault="00EB7BB4" w:rsidP="00B67EB0">
            <w:pPr>
              <w:rPr>
                <w:sz w:val="22"/>
                <w:szCs w:val="22"/>
              </w:rPr>
            </w:pPr>
            <w:r w:rsidRPr="00DF3807">
              <w:rPr>
                <w:sz w:val="22"/>
                <w:szCs w:val="22"/>
              </w:rPr>
              <w:t xml:space="preserve">1 - </w:t>
            </w:r>
            <w:r w:rsidR="00435B89" w:rsidRPr="00DF3807">
              <w:rPr>
                <w:sz w:val="22"/>
                <w:szCs w:val="22"/>
              </w:rPr>
              <w:t>Complaint of unannounced visit</w:t>
            </w:r>
          </w:p>
        </w:tc>
      </w:tr>
      <w:tr w:rsidR="00B67EB0" w:rsidRPr="00DF3807" w14:paraId="7829DEB2" w14:textId="77777777" w:rsidTr="00971385">
        <w:tc>
          <w:tcPr>
            <w:tcW w:w="1413" w:type="dxa"/>
          </w:tcPr>
          <w:p w14:paraId="4211597A" w14:textId="2596DF36" w:rsidR="00B67EB0" w:rsidRPr="00DF3807" w:rsidRDefault="00EB7BB4" w:rsidP="00B67EB0">
            <w:pPr>
              <w:rPr>
                <w:sz w:val="22"/>
                <w:szCs w:val="22"/>
              </w:rPr>
            </w:pPr>
            <w:r w:rsidRPr="00DF3807">
              <w:rPr>
                <w:sz w:val="22"/>
                <w:szCs w:val="22"/>
              </w:rPr>
              <w:t>6</w:t>
            </w:r>
          </w:p>
        </w:tc>
        <w:tc>
          <w:tcPr>
            <w:tcW w:w="2551" w:type="dxa"/>
          </w:tcPr>
          <w:p w14:paraId="2EA283C0" w14:textId="4DD021D4" w:rsidR="00B67EB0" w:rsidRPr="00DF3807" w:rsidRDefault="00B90A66" w:rsidP="00B67EB0">
            <w:pPr>
              <w:rPr>
                <w:sz w:val="22"/>
                <w:szCs w:val="22"/>
              </w:rPr>
            </w:pPr>
            <w:r w:rsidRPr="00B90A66">
              <w:rPr>
                <w:sz w:val="22"/>
                <w:szCs w:val="22"/>
              </w:rPr>
              <w:t>Anti-Social Behaviour</w:t>
            </w:r>
          </w:p>
        </w:tc>
        <w:tc>
          <w:tcPr>
            <w:tcW w:w="5052" w:type="dxa"/>
          </w:tcPr>
          <w:p w14:paraId="1A0760A2" w14:textId="5275D6BF" w:rsidR="00435B89" w:rsidRPr="00DF3807" w:rsidRDefault="00EB7BB4" w:rsidP="00B67EB0">
            <w:pPr>
              <w:rPr>
                <w:sz w:val="22"/>
                <w:szCs w:val="22"/>
              </w:rPr>
            </w:pPr>
            <w:r w:rsidRPr="00DF3807">
              <w:rPr>
                <w:sz w:val="22"/>
                <w:szCs w:val="22"/>
              </w:rPr>
              <w:t>5</w:t>
            </w:r>
            <w:r w:rsidR="00435B89" w:rsidRPr="00DF3807">
              <w:rPr>
                <w:sz w:val="22"/>
                <w:szCs w:val="22"/>
              </w:rPr>
              <w:t xml:space="preserve"> – Noise </w:t>
            </w:r>
          </w:p>
          <w:p w14:paraId="2BA51BD7" w14:textId="0E55489D" w:rsidR="00EB7BB4" w:rsidRPr="00DF3807" w:rsidRDefault="00EB7BB4" w:rsidP="00B67EB0">
            <w:pPr>
              <w:rPr>
                <w:sz w:val="22"/>
                <w:szCs w:val="22"/>
              </w:rPr>
            </w:pPr>
            <w:r w:rsidRPr="00DF3807">
              <w:rPr>
                <w:sz w:val="22"/>
                <w:szCs w:val="22"/>
              </w:rPr>
              <w:t xml:space="preserve">1 – Behaviour of another tenant </w:t>
            </w:r>
          </w:p>
        </w:tc>
      </w:tr>
      <w:tr w:rsidR="00EB7BB4" w:rsidRPr="00DF3807" w14:paraId="7C42FA1C" w14:textId="77777777" w:rsidTr="00971385">
        <w:tc>
          <w:tcPr>
            <w:tcW w:w="1413" w:type="dxa"/>
          </w:tcPr>
          <w:p w14:paraId="1AEEC330" w14:textId="2F1C0BFF" w:rsidR="00EB7BB4" w:rsidRPr="00DF3807" w:rsidRDefault="00EB7BB4" w:rsidP="00B67EB0">
            <w:pPr>
              <w:rPr>
                <w:sz w:val="22"/>
                <w:szCs w:val="22"/>
              </w:rPr>
            </w:pPr>
            <w:r w:rsidRPr="00DF3807">
              <w:rPr>
                <w:sz w:val="22"/>
                <w:szCs w:val="22"/>
              </w:rPr>
              <w:t>1</w:t>
            </w:r>
          </w:p>
        </w:tc>
        <w:tc>
          <w:tcPr>
            <w:tcW w:w="2551" w:type="dxa"/>
          </w:tcPr>
          <w:p w14:paraId="54C2D17E" w14:textId="77FBB866" w:rsidR="00EB7BB4" w:rsidRPr="00DF3807" w:rsidRDefault="00EB7BB4" w:rsidP="00B67EB0">
            <w:pPr>
              <w:rPr>
                <w:sz w:val="22"/>
                <w:szCs w:val="22"/>
              </w:rPr>
            </w:pPr>
            <w:r w:rsidRPr="00DF3807">
              <w:rPr>
                <w:sz w:val="22"/>
                <w:szCs w:val="22"/>
              </w:rPr>
              <w:t>Visitors</w:t>
            </w:r>
          </w:p>
        </w:tc>
        <w:tc>
          <w:tcPr>
            <w:tcW w:w="5052" w:type="dxa"/>
          </w:tcPr>
          <w:p w14:paraId="50EBAC6F" w14:textId="45D387EE" w:rsidR="00EB7BB4" w:rsidRPr="00DF3807" w:rsidRDefault="00EB7BB4" w:rsidP="00B67EB0">
            <w:pPr>
              <w:rPr>
                <w:sz w:val="22"/>
                <w:szCs w:val="22"/>
              </w:rPr>
            </w:pPr>
            <w:r w:rsidRPr="00DF3807">
              <w:rPr>
                <w:sz w:val="22"/>
                <w:szCs w:val="22"/>
              </w:rPr>
              <w:t xml:space="preserve">1 – </w:t>
            </w:r>
            <w:r w:rsidR="003E4986" w:rsidRPr="00DF3807">
              <w:rPr>
                <w:sz w:val="22"/>
                <w:szCs w:val="22"/>
              </w:rPr>
              <w:t>Visitors'</w:t>
            </w:r>
            <w:r w:rsidRPr="00DF3807">
              <w:rPr>
                <w:sz w:val="22"/>
                <w:szCs w:val="22"/>
              </w:rPr>
              <w:t xml:space="preserve"> behaviour at </w:t>
            </w:r>
            <w:r w:rsidR="003E4986" w:rsidRPr="00DF3807">
              <w:rPr>
                <w:sz w:val="22"/>
                <w:szCs w:val="22"/>
              </w:rPr>
              <w:t xml:space="preserve">the </w:t>
            </w:r>
            <w:r w:rsidRPr="00DF3807">
              <w:rPr>
                <w:sz w:val="22"/>
                <w:szCs w:val="22"/>
              </w:rPr>
              <w:t>property</w:t>
            </w:r>
          </w:p>
        </w:tc>
      </w:tr>
      <w:tr w:rsidR="00EB7BB4" w:rsidRPr="00DF3807" w14:paraId="46864CE6" w14:textId="77777777" w:rsidTr="00971385">
        <w:tc>
          <w:tcPr>
            <w:tcW w:w="1413" w:type="dxa"/>
          </w:tcPr>
          <w:p w14:paraId="202EB12C" w14:textId="3A7B71E4" w:rsidR="00EB7BB4" w:rsidRPr="00DF3807" w:rsidRDefault="00EB7BB4" w:rsidP="00B67EB0">
            <w:pPr>
              <w:rPr>
                <w:sz w:val="22"/>
                <w:szCs w:val="22"/>
              </w:rPr>
            </w:pPr>
            <w:r w:rsidRPr="00DF3807">
              <w:rPr>
                <w:sz w:val="22"/>
                <w:szCs w:val="22"/>
              </w:rPr>
              <w:t xml:space="preserve">1 </w:t>
            </w:r>
          </w:p>
        </w:tc>
        <w:tc>
          <w:tcPr>
            <w:tcW w:w="2551" w:type="dxa"/>
          </w:tcPr>
          <w:p w14:paraId="3A4F9A42" w14:textId="650CAA47" w:rsidR="00EB7BB4" w:rsidRPr="00DF3807" w:rsidRDefault="00EB7BB4" w:rsidP="00B67EB0">
            <w:pPr>
              <w:rPr>
                <w:sz w:val="22"/>
                <w:szCs w:val="22"/>
              </w:rPr>
            </w:pPr>
            <w:r w:rsidRPr="00DF3807">
              <w:rPr>
                <w:sz w:val="22"/>
                <w:szCs w:val="22"/>
              </w:rPr>
              <w:t>Belongings</w:t>
            </w:r>
          </w:p>
        </w:tc>
        <w:tc>
          <w:tcPr>
            <w:tcW w:w="5052" w:type="dxa"/>
          </w:tcPr>
          <w:p w14:paraId="1ADDB570" w14:textId="26B27524" w:rsidR="00EB7BB4" w:rsidRPr="00971385" w:rsidRDefault="00EB7BB4" w:rsidP="00B67EB0">
            <w:pPr>
              <w:rPr>
                <w:color w:val="EE0000"/>
                <w:sz w:val="22"/>
                <w:szCs w:val="22"/>
              </w:rPr>
            </w:pPr>
            <w:r w:rsidRPr="00B43AFF">
              <w:rPr>
                <w:sz w:val="22"/>
                <w:szCs w:val="22"/>
              </w:rPr>
              <w:t xml:space="preserve">1 – Not investigated as outside of 12 months </w:t>
            </w:r>
            <w:r w:rsidR="00971385" w:rsidRPr="00B43AFF">
              <w:rPr>
                <w:sz w:val="22"/>
                <w:szCs w:val="22"/>
              </w:rPr>
              <w:t>(in line with our Policy)</w:t>
            </w:r>
          </w:p>
        </w:tc>
      </w:tr>
      <w:tr w:rsidR="00EB7BB4" w:rsidRPr="00DF3807" w14:paraId="2DE31E26" w14:textId="77777777" w:rsidTr="00971385">
        <w:tc>
          <w:tcPr>
            <w:tcW w:w="1413" w:type="dxa"/>
          </w:tcPr>
          <w:p w14:paraId="7E3FAAC9" w14:textId="69AAD552" w:rsidR="00EB7BB4" w:rsidRPr="00DF3807" w:rsidRDefault="00EB7BB4" w:rsidP="00B67EB0">
            <w:pPr>
              <w:rPr>
                <w:sz w:val="22"/>
                <w:szCs w:val="22"/>
              </w:rPr>
            </w:pPr>
            <w:r w:rsidRPr="00DF3807">
              <w:rPr>
                <w:sz w:val="22"/>
                <w:szCs w:val="22"/>
              </w:rPr>
              <w:t>1</w:t>
            </w:r>
          </w:p>
        </w:tc>
        <w:tc>
          <w:tcPr>
            <w:tcW w:w="2551" w:type="dxa"/>
          </w:tcPr>
          <w:p w14:paraId="6B87D335" w14:textId="0219E20C" w:rsidR="00EB7BB4" w:rsidRPr="00DF3807" w:rsidRDefault="00EB7BB4" w:rsidP="00B67EB0">
            <w:pPr>
              <w:rPr>
                <w:sz w:val="22"/>
                <w:szCs w:val="22"/>
              </w:rPr>
            </w:pPr>
            <w:r w:rsidRPr="00DF3807">
              <w:rPr>
                <w:sz w:val="22"/>
                <w:szCs w:val="22"/>
              </w:rPr>
              <w:t>Pets</w:t>
            </w:r>
          </w:p>
        </w:tc>
        <w:tc>
          <w:tcPr>
            <w:tcW w:w="5052" w:type="dxa"/>
          </w:tcPr>
          <w:p w14:paraId="54BE9190" w14:textId="5B5FC53A" w:rsidR="00EB7BB4" w:rsidRPr="00DF3807" w:rsidRDefault="00EB7BB4" w:rsidP="00B67EB0">
            <w:pPr>
              <w:rPr>
                <w:sz w:val="22"/>
                <w:szCs w:val="22"/>
              </w:rPr>
            </w:pPr>
            <w:r w:rsidRPr="00DF3807">
              <w:rPr>
                <w:sz w:val="22"/>
                <w:szCs w:val="22"/>
              </w:rPr>
              <w:t xml:space="preserve">1 – </w:t>
            </w:r>
            <w:r w:rsidR="002A1EA7">
              <w:rPr>
                <w:sz w:val="22"/>
                <w:szCs w:val="22"/>
              </w:rPr>
              <w:t>T</w:t>
            </w:r>
            <w:r w:rsidRPr="00DF3807">
              <w:rPr>
                <w:sz w:val="22"/>
                <w:szCs w:val="22"/>
              </w:rPr>
              <w:t xml:space="preserve">enant care towards </w:t>
            </w:r>
            <w:r w:rsidR="003E4986" w:rsidRPr="00DF3807">
              <w:rPr>
                <w:sz w:val="22"/>
                <w:szCs w:val="22"/>
              </w:rPr>
              <w:t xml:space="preserve">the </w:t>
            </w:r>
            <w:r w:rsidRPr="00DF3807">
              <w:rPr>
                <w:sz w:val="22"/>
                <w:szCs w:val="22"/>
              </w:rPr>
              <w:t>pet</w:t>
            </w:r>
          </w:p>
        </w:tc>
      </w:tr>
      <w:tr w:rsidR="00EB7BB4" w:rsidRPr="00DF3807" w14:paraId="7E200237" w14:textId="77777777" w:rsidTr="00971385">
        <w:tc>
          <w:tcPr>
            <w:tcW w:w="1413" w:type="dxa"/>
          </w:tcPr>
          <w:p w14:paraId="74FED9B6" w14:textId="6DBEAC6B" w:rsidR="00EB7BB4" w:rsidRPr="00DF3807" w:rsidRDefault="00EB7BB4" w:rsidP="00B67EB0">
            <w:pPr>
              <w:rPr>
                <w:sz w:val="22"/>
                <w:szCs w:val="22"/>
              </w:rPr>
            </w:pPr>
            <w:r w:rsidRPr="00DF3807">
              <w:rPr>
                <w:sz w:val="22"/>
                <w:szCs w:val="22"/>
              </w:rPr>
              <w:t>2</w:t>
            </w:r>
          </w:p>
        </w:tc>
        <w:tc>
          <w:tcPr>
            <w:tcW w:w="2551" w:type="dxa"/>
          </w:tcPr>
          <w:p w14:paraId="6FF311CD" w14:textId="33386076" w:rsidR="00EB7BB4" w:rsidRPr="00DF3807" w:rsidRDefault="00EB7BB4" w:rsidP="00B67EB0">
            <w:pPr>
              <w:rPr>
                <w:sz w:val="22"/>
                <w:szCs w:val="22"/>
              </w:rPr>
            </w:pPr>
            <w:r w:rsidRPr="00DF3807">
              <w:rPr>
                <w:sz w:val="22"/>
                <w:szCs w:val="22"/>
              </w:rPr>
              <w:t>Rents</w:t>
            </w:r>
          </w:p>
        </w:tc>
        <w:tc>
          <w:tcPr>
            <w:tcW w:w="5052" w:type="dxa"/>
          </w:tcPr>
          <w:p w14:paraId="4B2158E6" w14:textId="21271568" w:rsidR="00EB7BB4" w:rsidRPr="00DF3807" w:rsidRDefault="00EB7BB4" w:rsidP="00B67EB0">
            <w:pPr>
              <w:rPr>
                <w:sz w:val="22"/>
                <w:szCs w:val="22"/>
              </w:rPr>
            </w:pPr>
            <w:r w:rsidRPr="00DF3807">
              <w:rPr>
                <w:sz w:val="22"/>
                <w:szCs w:val="22"/>
              </w:rPr>
              <w:t xml:space="preserve">1 – Cleaning not carried out in </w:t>
            </w:r>
            <w:r w:rsidR="003E4986" w:rsidRPr="00DF3807">
              <w:rPr>
                <w:sz w:val="22"/>
                <w:szCs w:val="22"/>
              </w:rPr>
              <w:t xml:space="preserve">the </w:t>
            </w:r>
            <w:r w:rsidRPr="00DF3807">
              <w:rPr>
                <w:sz w:val="22"/>
                <w:szCs w:val="22"/>
              </w:rPr>
              <w:t>communal area</w:t>
            </w:r>
          </w:p>
          <w:p w14:paraId="5AFEDAE2" w14:textId="41493D09" w:rsidR="00EB7BB4" w:rsidRPr="00DF3807" w:rsidRDefault="00EB7BB4" w:rsidP="00B67EB0">
            <w:pPr>
              <w:rPr>
                <w:sz w:val="22"/>
                <w:szCs w:val="22"/>
              </w:rPr>
            </w:pPr>
            <w:r w:rsidRPr="00DF3807">
              <w:rPr>
                <w:sz w:val="22"/>
                <w:szCs w:val="22"/>
              </w:rPr>
              <w:t>1 – Tenant</w:t>
            </w:r>
            <w:r w:rsidR="00971385">
              <w:rPr>
                <w:sz w:val="22"/>
                <w:szCs w:val="22"/>
              </w:rPr>
              <w:t>’s</w:t>
            </w:r>
            <w:r w:rsidRPr="00DF3807">
              <w:rPr>
                <w:sz w:val="22"/>
                <w:szCs w:val="22"/>
              </w:rPr>
              <w:t xml:space="preserve"> rent account arrears</w:t>
            </w:r>
          </w:p>
        </w:tc>
      </w:tr>
      <w:tr w:rsidR="00EB7BB4" w:rsidRPr="00DF3807" w14:paraId="4B6105E2" w14:textId="77777777" w:rsidTr="00971385">
        <w:tc>
          <w:tcPr>
            <w:tcW w:w="1413" w:type="dxa"/>
          </w:tcPr>
          <w:p w14:paraId="69851A5B" w14:textId="7650CA49" w:rsidR="00EB7BB4" w:rsidRPr="00DF3807" w:rsidRDefault="00EB7BB4" w:rsidP="00B67EB0">
            <w:pPr>
              <w:rPr>
                <w:sz w:val="22"/>
                <w:szCs w:val="22"/>
              </w:rPr>
            </w:pPr>
            <w:r w:rsidRPr="00DF3807">
              <w:rPr>
                <w:sz w:val="22"/>
                <w:szCs w:val="22"/>
              </w:rPr>
              <w:t>12</w:t>
            </w:r>
          </w:p>
        </w:tc>
        <w:tc>
          <w:tcPr>
            <w:tcW w:w="2551" w:type="dxa"/>
          </w:tcPr>
          <w:p w14:paraId="3250F2B8" w14:textId="407042AE" w:rsidR="00EB7BB4" w:rsidRPr="00DF3807" w:rsidRDefault="00EB7BB4" w:rsidP="00B67EB0">
            <w:pPr>
              <w:rPr>
                <w:sz w:val="22"/>
                <w:szCs w:val="22"/>
              </w:rPr>
            </w:pPr>
            <w:r w:rsidRPr="00DF3807">
              <w:rPr>
                <w:sz w:val="22"/>
                <w:szCs w:val="22"/>
              </w:rPr>
              <w:t>Repairs</w:t>
            </w:r>
          </w:p>
        </w:tc>
        <w:tc>
          <w:tcPr>
            <w:tcW w:w="5052" w:type="dxa"/>
          </w:tcPr>
          <w:p w14:paraId="58770446" w14:textId="77777777" w:rsidR="00EB7BB4" w:rsidRPr="00DF3807" w:rsidRDefault="00EB7BB4" w:rsidP="00B67EB0">
            <w:pPr>
              <w:rPr>
                <w:sz w:val="22"/>
                <w:szCs w:val="22"/>
              </w:rPr>
            </w:pPr>
            <w:r w:rsidRPr="00DF3807">
              <w:rPr>
                <w:sz w:val="22"/>
                <w:szCs w:val="22"/>
              </w:rPr>
              <w:t xml:space="preserve">3 – Repairs not completed </w:t>
            </w:r>
          </w:p>
          <w:p w14:paraId="2D6B1441" w14:textId="6B5AF370" w:rsidR="00EB7BB4" w:rsidRPr="00DF3807" w:rsidRDefault="00221D4D" w:rsidP="00B67EB0">
            <w:pPr>
              <w:rPr>
                <w:sz w:val="22"/>
                <w:szCs w:val="22"/>
              </w:rPr>
            </w:pPr>
            <w:r w:rsidRPr="00DF3807">
              <w:rPr>
                <w:sz w:val="22"/>
                <w:szCs w:val="22"/>
              </w:rPr>
              <w:t>1 – Flooring</w:t>
            </w:r>
          </w:p>
          <w:p w14:paraId="667C58A1" w14:textId="6E76A4CB" w:rsidR="00221D4D" w:rsidRPr="00DF3807" w:rsidRDefault="00221D4D" w:rsidP="00B67EB0">
            <w:pPr>
              <w:rPr>
                <w:sz w:val="22"/>
                <w:szCs w:val="22"/>
              </w:rPr>
            </w:pPr>
            <w:r w:rsidRPr="00DF3807">
              <w:rPr>
                <w:sz w:val="22"/>
                <w:szCs w:val="22"/>
              </w:rPr>
              <w:t>8 – General Repairs</w:t>
            </w:r>
          </w:p>
        </w:tc>
      </w:tr>
      <w:tr w:rsidR="00221D4D" w:rsidRPr="00DF3807" w14:paraId="79F33856" w14:textId="77777777" w:rsidTr="00971385">
        <w:tc>
          <w:tcPr>
            <w:tcW w:w="1413" w:type="dxa"/>
          </w:tcPr>
          <w:p w14:paraId="5FC85B35" w14:textId="13C99FF1" w:rsidR="00221D4D" w:rsidRPr="00DF3807" w:rsidRDefault="00221D4D" w:rsidP="00B67EB0">
            <w:pPr>
              <w:rPr>
                <w:sz w:val="22"/>
                <w:szCs w:val="22"/>
              </w:rPr>
            </w:pPr>
            <w:r w:rsidRPr="00DF3807">
              <w:rPr>
                <w:sz w:val="22"/>
                <w:szCs w:val="22"/>
              </w:rPr>
              <w:t>8</w:t>
            </w:r>
          </w:p>
        </w:tc>
        <w:tc>
          <w:tcPr>
            <w:tcW w:w="2551" w:type="dxa"/>
          </w:tcPr>
          <w:p w14:paraId="245FEF99" w14:textId="24F85BF7" w:rsidR="00221D4D" w:rsidRPr="00DF3807" w:rsidRDefault="00221D4D" w:rsidP="00B67EB0">
            <w:pPr>
              <w:rPr>
                <w:sz w:val="22"/>
                <w:szCs w:val="22"/>
              </w:rPr>
            </w:pPr>
            <w:r w:rsidRPr="00DF3807">
              <w:rPr>
                <w:sz w:val="22"/>
                <w:szCs w:val="22"/>
              </w:rPr>
              <w:t>White Goods</w:t>
            </w:r>
          </w:p>
        </w:tc>
        <w:tc>
          <w:tcPr>
            <w:tcW w:w="5052" w:type="dxa"/>
          </w:tcPr>
          <w:p w14:paraId="5FC9C87E" w14:textId="77777777" w:rsidR="00221D4D" w:rsidRPr="00DF3807" w:rsidRDefault="00A76381" w:rsidP="00B67EB0">
            <w:pPr>
              <w:rPr>
                <w:sz w:val="22"/>
                <w:szCs w:val="22"/>
              </w:rPr>
            </w:pPr>
            <w:r w:rsidRPr="00DF3807">
              <w:rPr>
                <w:sz w:val="22"/>
                <w:szCs w:val="22"/>
              </w:rPr>
              <w:t>4 – Change in white goods provision</w:t>
            </w:r>
          </w:p>
          <w:p w14:paraId="1A46B5ED" w14:textId="601689B5" w:rsidR="00A76381" w:rsidRPr="00DF3807" w:rsidRDefault="00A76381" w:rsidP="00B67EB0">
            <w:pPr>
              <w:rPr>
                <w:sz w:val="22"/>
                <w:szCs w:val="22"/>
              </w:rPr>
            </w:pPr>
            <w:r w:rsidRPr="00DF3807">
              <w:rPr>
                <w:sz w:val="22"/>
                <w:szCs w:val="22"/>
              </w:rPr>
              <w:t xml:space="preserve">1 – White </w:t>
            </w:r>
            <w:r w:rsidR="00971385">
              <w:rPr>
                <w:sz w:val="22"/>
                <w:szCs w:val="22"/>
              </w:rPr>
              <w:t>g</w:t>
            </w:r>
            <w:r w:rsidRPr="00DF3807">
              <w:rPr>
                <w:sz w:val="22"/>
                <w:szCs w:val="22"/>
              </w:rPr>
              <w:t>oods replacement time</w:t>
            </w:r>
          </w:p>
          <w:p w14:paraId="0F779747" w14:textId="438F96FB" w:rsidR="00971385" w:rsidRPr="00B43AFF" w:rsidRDefault="00B43AFF" w:rsidP="00B67EB0">
            <w:pPr>
              <w:rPr>
                <w:sz w:val="22"/>
                <w:szCs w:val="22"/>
              </w:rPr>
            </w:pPr>
            <w:r>
              <w:rPr>
                <w:sz w:val="22"/>
                <w:szCs w:val="22"/>
              </w:rPr>
              <w:t>3</w:t>
            </w:r>
            <w:r w:rsidR="00A76381" w:rsidRPr="00DF3807">
              <w:rPr>
                <w:sz w:val="22"/>
                <w:szCs w:val="22"/>
              </w:rPr>
              <w:t xml:space="preserve"> – White </w:t>
            </w:r>
            <w:r w:rsidR="00971385">
              <w:rPr>
                <w:sz w:val="22"/>
                <w:szCs w:val="22"/>
              </w:rPr>
              <w:t>g</w:t>
            </w:r>
            <w:r w:rsidR="00A76381" w:rsidRPr="00DF3807">
              <w:rPr>
                <w:sz w:val="22"/>
                <w:szCs w:val="22"/>
              </w:rPr>
              <w:t xml:space="preserve">oods- </w:t>
            </w:r>
            <w:r w:rsidR="00971385">
              <w:rPr>
                <w:sz w:val="22"/>
                <w:szCs w:val="22"/>
              </w:rPr>
              <w:t>s</w:t>
            </w:r>
            <w:r w:rsidR="00A76381" w:rsidRPr="00DF3807">
              <w:rPr>
                <w:sz w:val="22"/>
                <w:szCs w:val="22"/>
              </w:rPr>
              <w:t xml:space="preserve">ervice delivery </w:t>
            </w:r>
          </w:p>
        </w:tc>
      </w:tr>
    </w:tbl>
    <w:p w14:paraId="19ECDA29" w14:textId="77777777" w:rsidR="00B90A66" w:rsidRDefault="00B90A66" w:rsidP="00B90A66">
      <w:pPr>
        <w:spacing w:after="0"/>
        <w:rPr>
          <w:b/>
          <w:bCs/>
          <w:sz w:val="22"/>
          <w:szCs w:val="22"/>
        </w:rPr>
      </w:pPr>
    </w:p>
    <w:p w14:paraId="4823B46D" w14:textId="0592CD9D" w:rsidR="00B90A66" w:rsidRPr="00B90A66" w:rsidRDefault="00B90A66" w:rsidP="00B90A66">
      <w:pPr>
        <w:pStyle w:val="ListParagraph"/>
        <w:numPr>
          <w:ilvl w:val="1"/>
          <w:numId w:val="2"/>
        </w:numPr>
        <w:spacing w:after="0"/>
        <w:rPr>
          <w:b/>
          <w:bCs/>
          <w:sz w:val="22"/>
          <w:szCs w:val="22"/>
        </w:rPr>
      </w:pPr>
      <w:r w:rsidRPr="00B90A66">
        <w:rPr>
          <w:b/>
          <w:bCs/>
          <w:sz w:val="22"/>
          <w:szCs w:val="22"/>
        </w:rPr>
        <w:t xml:space="preserve">Complaint Responses – Timescales </w:t>
      </w:r>
    </w:p>
    <w:p w14:paraId="0CD9B51A" w14:textId="03734395" w:rsidR="00D678B1" w:rsidRDefault="00D678B1" w:rsidP="00B67EB0">
      <w:pPr>
        <w:rPr>
          <w:sz w:val="22"/>
          <w:szCs w:val="22"/>
        </w:rPr>
      </w:pPr>
      <w:r w:rsidRPr="00D678B1">
        <w:rPr>
          <w:sz w:val="22"/>
          <w:szCs w:val="22"/>
        </w:rPr>
        <w:t xml:space="preserve">All complaints were acknowledged, and investigations completed within relevant timescales, apart from </w:t>
      </w:r>
      <w:r>
        <w:rPr>
          <w:sz w:val="22"/>
          <w:szCs w:val="22"/>
        </w:rPr>
        <w:t>three,</w:t>
      </w:r>
      <w:r w:rsidRPr="00D678B1">
        <w:rPr>
          <w:sz w:val="22"/>
          <w:szCs w:val="22"/>
        </w:rPr>
        <w:t xml:space="preserve"> which were out of timescale for </w:t>
      </w:r>
      <w:r>
        <w:rPr>
          <w:sz w:val="22"/>
          <w:szCs w:val="22"/>
        </w:rPr>
        <w:t xml:space="preserve">a </w:t>
      </w:r>
      <w:r w:rsidRPr="00D678B1">
        <w:rPr>
          <w:sz w:val="22"/>
          <w:szCs w:val="22"/>
        </w:rPr>
        <w:t>full response outcome letter.</w:t>
      </w:r>
      <w:r w:rsidR="00971385">
        <w:rPr>
          <w:sz w:val="22"/>
          <w:szCs w:val="22"/>
        </w:rPr>
        <w:t xml:space="preserve">  </w:t>
      </w:r>
      <w:r>
        <w:rPr>
          <w:sz w:val="22"/>
          <w:szCs w:val="22"/>
        </w:rPr>
        <w:t xml:space="preserve">The </w:t>
      </w:r>
      <w:r w:rsidR="00D050EB">
        <w:rPr>
          <w:sz w:val="22"/>
          <w:szCs w:val="22"/>
        </w:rPr>
        <w:t>two</w:t>
      </w:r>
      <w:r>
        <w:rPr>
          <w:sz w:val="22"/>
          <w:szCs w:val="22"/>
        </w:rPr>
        <w:t xml:space="preserve"> responses were outside of the timescales due </w:t>
      </w:r>
      <w:proofErr w:type="gramStart"/>
      <w:r>
        <w:rPr>
          <w:sz w:val="22"/>
          <w:szCs w:val="22"/>
        </w:rPr>
        <w:t>to;</w:t>
      </w:r>
      <w:proofErr w:type="gramEnd"/>
    </w:p>
    <w:p w14:paraId="18AD47C9" w14:textId="07FC5A24" w:rsidR="00B43AFF" w:rsidRDefault="00D050EB" w:rsidP="00D678B1">
      <w:pPr>
        <w:pStyle w:val="ListParagraph"/>
        <w:numPr>
          <w:ilvl w:val="0"/>
          <w:numId w:val="1"/>
        </w:numPr>
        <w:rPr>
          <w:sz w:val="22"/>
          <w:szCs w:val="22"/>
        </w:rPr>
      </w:pPr>
      <w:r>
        <w:rPr>
          <w:sz w:val="22"/>
          <w:szCs w:val="22"/>
        </w:rPr>
        <w:t>Allowing</w:t>
      </w:r>
      <w:r w:rsidR="00B43AFF">
        <w:rPr>
          <w:sz w:val="22"/>
          <w:szCs w:val="22"/>
        </w:rPr>
        <w:t xml:space="preserve"> additional time to collate the information as part of the investigation into the </w:t>
      </w:r>
      <w:r>
        <w:rPr>
          <w:sz w:val="22"/>
          <w:szCs w:val="22"/>
        </w:rPr>
        <w:t xml:space="preserve">complex </w:t>
      </w:r>
      <w:r w:rsidR="00B43AFF">
        <w:rPr>
          <w:sz w:val="22"/>
          <w:szCs w:val="22"/>
        </w:rPr>
        <w:t xml:space="preserve">compliant </w:t>
      </w:r>
      <w:r>
        <w:rPr>
          <w:sz w:val="22"/>
          <w:szCs w:val="22"/>
        </w:rPr>
        <w:t>that involved multiple repairs and external agencies.</w:t>
      </w:r>
      <w:r w:rsidR="00B43AFF">
        <w:rPr>
          <w:sz w:val="22"/>
          <w:szCs w:val="22"/>
        </w:rPr>
        <w:t xml:space="preserve"> </w:t>
      </w:r>
      <w:r w:rsidR="00B43AFF">
        <w:rPr>
          <w:sz w:val="22"/>
          <w:szCs w:val="22"/>
        </w:rPr>
        <w:t xml:space="preserve">An extension was requested and granted for </w:t>
      </w:r>
      <w:r w:rsidR="00B43AFF">
        <w:rPr>
          <w:sz w:val="22"/>
          <w:szCs w:val="22"/>
        </w:rPr>
        <w:t>the</w:t>
      </w:r>
      <w:r w:rsidR="00B43AFF">
        <w:rPr>
          <w:sz w:val="22"/>
          <w:szCs w:val="22"/>
        </w:rPr>
        <w:t xml:space="preserve"> complaint. </w:t>
      </w:r>
    </w:p>
    <w:p w14:paraId="069C2581" w14:textId="1FF97AD0" w:rsidR="00B43AFF" w:rsidRDefault="00D050EB" w:rsidP="00B43AFF">
      <w:pPr>
        <w:pStyle w:val="ListParagraph"/>
        <w:rPr>
          <w:sz w:val="22"/>
          <w:szCs w:val="22"/>
        </w:rPr>
      </w:pPr>
      <w:r>
        <w:rPr>
          <w:sz w:val="22"/>
          <w:szCs w:val="22"/>
        </w:rPr>
        <w:t>The complaint</w:t>
      </w:r>
      <w:r w:rsidR="00B43AFF">
        <w:rPr>
          <w:sz w:val="22"/>
          <w:szCs w:val="22"/>
        </w:rPr>
        <w:t xml:space="preserve"> resulted in compensation being offered as a Gesture of Goodwill.</w:t>
      </w:r>
    </w:p>
    <w:p w14:paraId="042976EE" w14:textId="2EC62D14" w:rsidR="00D678B1" w:rsidRPr="00D050EB" w:rsidRDefault="00D050EB" w:rsidP="00B43AFF">
      <w:pPr>
        <w:pStyle w:val="ListParagraph"/>
        <w:numPr>
          <w:ilvl w:val="0"/>
          <w:numId w:val="1"/>
        </w:numPr>
        <w:rPr>
          <w:sz w:val="22"/>
          <w:szCs w:val="22"/>
        </w:rPr>
      </w:pPr>
      <w:r w:rsidRPr="00D050EB">
        <w:rPr>
          <w:sz w:val="22"/>
          <w:szCs w:val="22"/>
        </w:rPr>
        <w:t>Requiring the properties designated Housing Officer to return from annual leave, to obtain and investigate the compliant fully. An extension was requested and granted for the compliant.</w:t>
      </w:r>
    </w:p>
    <w:p w14:paraId="5A2745C3" w14:textId="77777777" w:rsidR="00B90A66" w:rsidRDefault="00B90A66" w:rsidP="00B90A66">
      <w:pPr>
        <w:pStyle w:val="ListParagraph"/>
        <w:rPr>
          <w:sz w:val="22"/>
          <w:szCs w:val="22"/>
        </w:rPr>
      </w:pPr>
    </w:p>
    <w:p w14:paraId="46E8702B" w14:textId="26F8BE4F" w:rsidR="00B90A66" w:rsidRPr="00B90A66" w:rsidRDefault="00B90A66" w:rsidP="00B90A66">
      <w:pPr>
        <w:pStyle w:val="ListParagraph"/>
        <w:numPr>
          <w:ilvl w:val="1"/>
          <w:numId w:val="2"/>
        </w:numPr>
        <w:rPr>
          <w:b/>
          <w:bCs/>
          <w:sz w:val="22"/>
          <w:szCs w:val="22"/>
        </w:rPr>
      </w:pPr>
      <w:r w:rsidRPr="00B90A66">
        <w:rPr>
          <w:b/>
          <w:bCs/>
          <w:sz w:val="22"/>
          <w:szCs w:val="22"/>
        </w:rPr>
        <w:t xml:space="preserve">Complaint Responses – Outcome </w:t>
      </w:r>
    </w:p>
    <w:p w14:paraId="674C4BE6" w14:textId="77777777" w:rsidR="00A673D9" w:rsidRDefault="00D678B1" w:rsidP="00D678B1">
      <w:pPr>
        <w:rPr>
          <w:sz w:val="22"/>
          <w:szCs w:val="22"/>
        </w:rPr>
      </w:pPr>
      <w:r>
        <w:rPr>
          <w:sz w:val="22"/>
          <w:szCs w:val="22"/>
        </w:rPr>
        <w:lastRenderedPageBreak/>
        <w:t xml:space="preserve">Out of the 33 Stage 1 complaints, 21 were upheld, and 12 were not. The reasons for the complaints not being upheld were due to </w:t>
      </w:r>
    </w:p>
    <w:p w14:paraId="78FFF702" w14:textId="1C1D86E0" w:rsidR="00A673D9" w:rsidRDefault="00A673D9" w:rsidP="00A673D9">
      <w:pPr>
        <w:pStyle w:val="ListParagraph"/>
        <w:numPr>
          <w:ilvl w:val="0"/>
          <w:numId w:val="1"/>
        </w:numPr>
        <w:rPr>
          <w:sz w:val="22"/>
          <w:szCs w:val="22"/>
        </w:rPr>
      </w:pPr>
      <w:r>
        <w:rPr>
          <w:sz w:val="22"/>
          <w:szCs w:val="22"/>
        </w:rPr>
        <w:t>The</w:t>
      </w:r>
      <w:r w:rsidR="00D678B1" w:rsidRPr="00A673D9">
        <w:rPr>
          <w:sz w:val="22"/>
          <w:szCs w:val="22"/>
        </w:rPr>
        <w:t xml:space="preserve"> details within the initial complaint</w:t>
      </w:r>
      <w:r>
        <w:rPr>
          <w:sz w:val="22"/>
          <w:szCs w:val="22"/>
        </w:rPr>
        <w:t xml:space="preserve"> were found to be i</w:t>
      </w:r>
      <w:r w:rsidR="00D678B1" w:rsidRPr="00A673D9">
        <w:rPr>
          <w:sz w:val="22"/>
          <w:szCs w:val="22"/>
        </w:rPr>
        <w:t>naccurate</w:t>
      </w:r>
      <w:r w:rsidRPr="00A673D9">
        <w:rPr>
          <w:sz w:val="22"/>
          <w:szCs w:val="22"/>
        </w:rPr>
        <w:t xml:space="preserve"> after the investigation </w:t>
      </w:r>
      <w:r>
        <w:rPr>
          <w:sz w:val="22"/>
          <w:szCs w:val="22"/>
        </w:rPr>
        <w:t>was</w:t>
      </w:r>
      <w:r w:rsidRPr="00A673D9">
        <w:rPr>
          <w:sz w:val="22"/>
          <w:szCs w:val="22"/>
        </w:rPr>
        <w:t xml:space="preserve"> conducted</w:t>
      </w:r>
      <w:r>
        <w:rPr>
          <w:sz w:val="22"/>
          <w:szCs w:val="22"/>
        </w:rPr>
        <w:t>.</w:t>
      </w:r>
    </w:p>
    <w:p w14:paraId="21DB3D5D" w14:textId="60818225" w:rsidR="00A673D9" w:rsidRDefault="002A1EA7" w:rsidP="00A673D9">
      <w:pPr>
        <w:pStyle w:val="ListParagraph"/>
        <w:numPr>
          <w:ilvl w:val="0"/>
          <w:numId w:val="1"/>
        </w:numPr>
        <w:rPr>
          <w:sz w:val="22"/>
          <w:szCs w:val="22"/>
        </w:rPr>
      </w:pPr>
      <w:r>
        <w:rPr>
          <w:sz w:val="22"/>
          <w:szCs w:val="22"/>
        </w:rPr>
        <w:t xml:space="preserve">The issue had already been resolved in full. </w:t>
      </w:r>
    </w:p>
    <w:p w14:paraId="35A8AA68" w14:textId="6FECA2AF" w:rsidR="00A673D9" w:rsidRDefault="00A673D9" w:rsidP="00A673D9">
      <w:pPr>
        <w:pStyle w:val="ListParagraph"/>
        <w:numPr>
          <w:ilvl w:val="0"/>
          <w:numId w:val="1"/>
        </w:numPr>
        <w:rPr>
          <w:sz w:val="22"/>
          <w:szCs w:val="22"/>
        </w:rPr>
      </w:pPr>
      <w:r>
        <w:rPr>
          <w:sz w:val="22"/>
          <w:szCs w:val="22"/>
        </w:rPr>
        <w:t xml:space="preserve">Unable to share information as the customer did not give consent. </w:t>
      </w:r>
    </w:p>
    <w:p w14:paraId="559E645D" w14:textId="5FD93B3D" w:rsidR="00A673D9" w:rsidRPr="00BB1BE6" w:rsidRDefault="00A673D9" w:rsidP="00A673D9">
      <w:pPr>
        <w:pStyle w:val="ListParagraph"/>
        <w:numPr>
          <w:ilvl w:val="0"/>
          <w:numId w:val="1"/>
        </w:numPr>
        <w:rPr>
          <w:sz w:val="22"/>
          <w:szCs w:val="22"/>
        </w:rPr>
      </w:pPr>
      <w:r>
        <w:rPr>
          <w:sz w:val="22"/>
          <w:szCs w:val="22"/>
        </w:rPr>
        <w:t xml:space="preserve">The decisions made by AHS were found to be reasonable and had the best interests of the </w:t>
      </w:r>
      <w:r w:rsidRPr="00BB1BE6">
        <w:rPr>
          <w:sz w:val="22"/>
          <w:szCs w:val="22"/>
        </w:rPr>
        <w:t>customers</w:t>
      </w:r>
      <w:r w:rsidR="0092229F" w:rsidRPr="00BB1BE6">
        <w:rPr>
          <w:sz w:val="22"/>
          <w:szCs w:val="22"/>
        </w:rPr>
        <w:t xml:space="preserve"> in mind</w:t>
      </w:r>
      <w:r w:rsidRPr="00BB1BE6">
        <w:rPr>
          <w:sz w:val="22"/>
          <w:szCs w:val="22"/>
        </w:rPr>
        <w:t xml:space="preserve">. </w:t>
      </w:r>
    </w:p>
    <w:p w14:paraId="1AACB5E6" w14:textId="77777777" w:rsidR="00B90A66" w:rsidRDefault="00B90A66" w:rsidP="00B90A66">
      <w:pPr>
        <w:pStyle w:val="ListParagraph"/>
        <w:rPr>
          <w:sz w:val="22"/>
          <w:szCs w:val="22"/>
        </w:rPr>
      </w:pPr>
    </w:p>
    <w:p w14:paraId="7CF53872" w14:textId="4E3794E6" w:rsidR="00B90A66" w:rsidRPr="00B90A66" w:rsidRDefault="00B90A66" w:rsidP="00B90A66">
      <w:pPr>
        <w:pStyle w:val="ListParagraph"/>
        <w:numPr>
          <w:ilvl w:val="1"/>
          <w:numId w:val="2"/>
        </w:numPr>
        <w:rPr>
          <w:b/>
          <w:bCs/>
          <w:sz w:val="22"/>
          <w:szCs w:val="22"/>
        </w:rPr>
      </w:pPr>
      <w:r w:rsidRPr="00B90A66">
        <w:rPr>
          <w:b/>
          <w:bCs/>
          <w:sz w:val="22"/>
          <w:szCs w:val="22"/>
        </w:rPr>
        <w:t>Lessons Learn</w:t>
      </w:r>
      <w:r w:rsidR="00971385">
        <w:rPr>
          <w:b/>
          <w:bCs/>
          <w:sz w:val="22"/>
          <w:szCs w:val="22"/>
        </w:rPr>
        <w:t>ed</w:t>
      </w:r>
    </w:p>
    <w:p w14:paraId="2B962A78" w14:textId="713272E4" w:rsidR="00D678B1" w:rsidRPr="00971385" w:rsidRDefault="002A1EA7" w:rsidP="00D678B1">
      <w:pPr>
        <w:rPr>
          <w:color w:val="EE0000"/>
          <w:sz w:val="22"/>
          <w:szCs w:val="22"/>
        </w:rPr>
      </w:pPr>
      <w:r>
        <w:rPr>
          <w:sz w:val="22"/>
          <w:szCs w:val="22"/>
        </w:rPr>
        <w:t>There were several Lessons Learned following the Stage 1 complaints received</w:t>
      </w:r>
      <w:r w:rsidR="00971385">
        <w:rPr>
          <w:sz w:val="22"/>
          <w:szCs w:val="22"/>
        </w:rPr>
        <w:t xml:space="preserve"> a</w:t>
      </w:r>
      <w:r w:rsidR="00971385" w:rsidRPr="00D050EB">
        <w:rPr>
          <w:sz w:val="22"/>
          <w:szCs w:val="22"/>
        </w:rPr>
        <w:t>nd as a result we:</w:t>
      </w:r>
    </w:p>
    <w:p w14:paraId="37471729" w14:textId="370925E7" w:rsidR="002A1EA7" w:rsidRPr="00D050EB" w:rsidRDefault="002A1EA7" w:rsidP="002A1EA7">
      <w:pPr>
        <w:pStyle w:val="ListParagraph"/>
        <w:numPr>
          <w:ilvl w:val="0"/>
          <w:numId w:val="1"/>
        </w:numPr>
        <w:rPr>
          <w:sz w:val="22"/>
          <w:szCs w:val="22"/>
        </w:rPr>
      </w:pPr>
      <w:r w:rsidRPr="00D050EB">
        <w:rPr>
          <w:sz w:val="22"/>
          <w:szCs w:val="22"/>
        </w:rPr>
        <w:t xml:space="preserve">Improved </w:t>
      </w:r>
      <w:r w:rsidR="00971385" w:rsidRPr="00D050EB">
        <w:rPr>
          <w:sz w:val="22"/>
          <w:szCs w:val="22"/>
        </w:rPr>
        <w:t xml:space="preserve">our </w:t>
      </w:r>
      <w:r w:rsidRPr="00D050EB">
        <w:rPr>
          <w:sz w:val="22"/>
          <w:szCs w:val="22"/>
        </w:rPr>
        <w:t>white goods procedure</w:t>
      </w:r>
      <w:r w:rsidR="0092229F" w:rsidRPr="00D050EB">
        <w:rPr>
          <w:sz w:val="22"/>
          <w:szCs w:val="22"/>
        </w:rPr>
        <w:t>.</w:t>
      </w:r>
    </w:p>
    <w:p w14:paraId="16AD4F79" w14:textId="1EE88263" w:rsidR="002A1EA7" w:rsidRPr="00D050EB" w:rsidRDefault="007F6D90" w:rsidP="002A1EA7">
      <w:pPr>
        <w:pStyle w:val="ListParagraph"/>
        <w:numPr>
          <w:ilvl w:val="0"/>
          <w:numId w:val="1"/>
        </w:numPr>
        <w:rPr>
          <w:sz w:val="22"/>
          <w:szCs w:val="22"/>
        </w:rPr>
      </w:pPr>
      <w:r w:rsidRPr="00D050EB">
        <w:rPr>
          <w:sz w:val="22"/>
          <w:szCs w:val="22"/>
        </w:rPr>
        <w:t>Improve</w:t>
      </w:r>
      <w:r w:rsidR="00971385" w:rsidRPr="00D050EB">
        <w:rPr>
          <w:sz w:val="22"/>
          <w:szCs w:val="22"/>
        </w:rPr>
        <w:t>d</w:t>
      </w:r>
      <w:r w:rsidRPr="00D050EB">
        <w:rPr>
          <w:sz w:val="22"/>
          <w:szCs w:val="22"/>
        </w:rPr>
        <w:t xml:space="preserve"> the handover </w:t>
      </w:r>
      <w:r w:rsidR="00971385" w:rsidRPr="00D050EB">
        <w:rPr>
          <w:sz w:val="22"/>
          <w:szCs w:val="22"/>
        </w:rPr>
        <w:t xml:space="preserve">process for </w:t>
      </w:r>
      <w:r w:rsidRPr="00D050EB">
        <w:rPr>
          <w:sz w:val="22"/>
          <w:szCs w:val="22"/>
        </w:rPr>
        <w:t>outgoing members of staff</w:t>
      </w:r>
      <w:r w:rsidR="0092229F" w:rsidRPr="00D050EB">
        <w:rPr>
          <w:sz w:val="22"/>
          <w:szCs w:val="22"/>
        </w:rPr>
        <w:t>.</w:t>
      </w:r>
    </w:p>
    <w:p w14:paraId="010D2B37" w14:textId="51575E3F" w:rsidR="007F6D90" w:rsidRPr="00D050EB" w:rsidRDefault="00971385" w:rsidP="002A1EA7">
      <w:pPr>
        <w:pStyle w:val="ListParagraph"/>
        <w:numPr>
          <w:ilvl w:val="0"/>
          <w:numId w:val="1"/>
        </w:numPr>
        <w:rPr>
          <w:sz w:val="22"/>
          <w:szCs w:val="22"/>
        </w:rPr>
      </w:pPr>
      <w:r w:rsidRPr="00D050EB">
        <w:rPr>
          <w:sz w:val="22"/>
          <w:szCs w:val="22"/>
        </w:rPr>
        <w:t xml:space="preserve">Introduced complaints discussions </w:t>
      </w:r>
      <w:r w:rsidR="007F6D90" w:rsidRPr="00D050EB">
        <w:rPr>
          <w:sz w:val="22"/>
          <w:szCs w:val="22"/>
        </w:rPr>
        <w:t xml:space="preserve">at meetings with our maintenance provider and </w:t>
      </w:r>
      <w:r w:rsidRPr="00D050EB">
        <w:rPr>
          <w:sz w:val="22"/>
          <w:szCs w:val="22"/>
        </w:rPr>
        <w:t xml:space="preserve">included evidenced communal area checks as part of </w:t>
      </w:r>
      <w:r w:rsidR="007F6D90" w:rsidRPr="00D050EB">
        <w:rPr>
          <w:sz w:val="22"/>
          <w:szCs w:val="22"/>
        </w:rPr>
        <w:t xml:space="preserve">housing officer site inspections. </w:t>
      </w:r>
    </w:p>
    <w:p w14:paraId="172C0AEA" w14:textId="2041DFA3" w:rsidR="007F6D90" w:rsidRPr="00D050EB" w:rsidRDefault="00BA01A0" w:rsidP="002A1EA7">
      <w:pPr>
        <w:pStyle w:val="ListParagraph"/>
        <w:numPr>
          <w:ilvl w:val="0"/>
          <w:numId w:val="1"/>
        </w:numPr>
        <w:rPr>
          <w:sz w:val="22"/>
          <w:szCs w:val="22"/>
        </w:rPr>
      </w:pPr>
      <w:r w:rsidRPr="00D050EB">
        <w:rPr>
          <w:sz w:val="22"/>
          <w:szCs w:val="22"/>
        </w:rPr>
        <w:t>Introduced a new</w:t>
      </w:r>
      <w:r w:rsidR="00971385" w:rsidRPr="00D050EB">
        <w:rPr>
          <w:sz w:val="22"/>
          <w:szCs w:val="22"/>
        </w:rPr>
        <w:t xml:space="preserve"> process for transferring pellets f</w:t>
      </w:r>
      <w:r w:rsidR="007F6D90" w:rsidRPr="00D050EB">
        <w:rPr>
          <w:sz w:val="22"/>
          <w:szCs w:val="22"/>
        </w:rPr>
        <w:t xml:space="preserve">or the Biomass boiler at </w:t>
      </w:r>
      <w:r w:rsidR="00971385" w:rsidRPr="00D050EB">
        <w:rPr>
          <w:sz w:val="22"/>
          <w:szCs w:val="22"/>
        </w:rPr>
        <w:t xml:space="preserve">one of our </w:t>
      </w:r>
      <w:r w:rsidR="007F6D90" w:rsidRPr="00D050EB">
        <w:rPr>
          <w:sz w:val="22"/>
          <w:szCs w:val="22"/>
        </w:rPr>
        <w:t>scheme</w:t>
      </w:r>
      <w:r w:rsidR="00971385" w:rsidRPr="00D050EB">
        <w:rPr>
          <w:sz w:val="22"/>
          <w:szCs w:val="22"/>
        </w:rPr>
        <w:t xml:space="preserve">s, </w:t>
      </w:r>
      <w:r w:rsidRPr="00D050EB">
        <w:rPr>
          <w:sz w:val="22"/>
          <w:szCs w:val="22"/>
        </w:rPr>
        <w:t xml:space="preserve">so that we no longer need to pay a </w:t>
      </w:r>
      <w:r w:rsidR="007F6D90" w:rsidRPr="00D050EB">
        <w:rPr>
          <w:sz w:val="22"/>
          <w:szCs w:val="22"/>
        </w:rPr>
        <w:t xml:space="preserve">maintenance company to manually put pellets into the boiler. </w:t>
      </w:r>
    </w:p>
    <w:p w14:paraId="5971D95D" w14:textId="291CC3A0" w:rsidR="007F6D90" w:rsidRPr="00D050EB" w:rsidRDefault="007F6D90" w:rsidP="002A1EA7">
      <w:pPr>
        <w:pStyle w:val="ListParagraph"/>
        <w:numPr>
          <w:ilvl w:val="0"/>
          <w:numId w:val="1"/>
        </w:numPr>
        <w:rPr>
          <w:sz w:val="22"/>
          <w:szCs w:val="22"/>
        </w:rPr>
      </w:pPr>
      <w:r w:rsidRPr="00D050EB">
        <w:rPr>
          <w:sz w:val="22"/>
          <w:szCs w:val="22"/>
        </w:rPr>
        <w:t>Review</w:t>
      </w:r>
      <w:r w:rsidR="00BA01A0" w:rsidRPr="00D050EB">
        <w:rPr>
          <w:sz w:val="22"/>
          <w:szCs w:val="22"/>
        </w:rPr>
        <w:t>ed our</w:t>
      </w:r>
      <w:r w:rsidRPr="00D050EB">
        <w:rPr>
          <w:sz w:val="22"/>
          <w:szCs w:val="22"/>
        </w:rPr>
        <w:t xml:space="preserve"> planned maintenance programme and information around maintenance logging. </w:t>
      </w:r>
    </w:p>
    <w:p w14:paraId="0BF3E88D" w14:textId="6E8048CF" w:rsidR="007F6D90" w:rsidRPr="00D050EB" w:rsidRDefault="007F6D90" w:rsidP="002A1EA7">
      <w:pPr>
        <w:pStyle w:val="ListParagraph"/>
        <w:numPr>
          <w:ilvl w:val="0"/>
          <w:numId w:val="1"/>
        </w:numPr>
        <w:rPr>
          <w:sz w:val="22"/>
          <w:szCs w:val="22"/>
        </w:rPr>
      </w:pPr>
      <w:r w:rsidRPr="00D050EB">
        <w:rPr>
          <w:sz w:val="22"/>
          <w:szCs w:val="22"/>
        </w:rPr>
        <w:t>Chang</w:t>
      </w:r>
      <w:r w:rsidR="00BA01A0" w:rsidRPr="00D050EB">
        <w:rPr>
          <w:sz w:val="22"/>
          <w:szCs w:val="22"/>
        </w:rPr>
        <w:t>ed</w:t>
      </w:r>
      <w:r w:rsidRPr="00D050EB">
        <w:rPr>
          <w:sz w:val="22"/>
          <w:szCs w:val="22"/>
        </w:rPr>
        <w:t xml:space="preserve"> </w:t>
      </w:r>
      <w:r w:rsidR="00BA01A0" w:rsidRPr="00D050EB">
        <w:rPr>
          <w:sz w:val="22"/>
          <w:szCs w:val="22"/>
        </w:rPr>
        <w:t>our</w:t>
      </w:r>
      <w:r w:rsidRPr="00D050EB">
        <w:rPr>
          <w:sz w:val="22"/>
          <w:szCs w:val="22"/>
        </w:rPr>
        <w:t xml:space="preserve"> maintenance contractor and approach to dealing with repair requests. </w:t>
      </w:r>
    </w:p>
    <w:p w14:paraId="4888157D" w14:textId="0CB3D1CA" w:rsidR="007F6D90" w:rsidRPr="00D050EB" w:rsidRDefault="00D050EB" w:rsidP="002A1EA7">
      <w:pPr>
        <w:pStyle w:val="ListParagraph"/>
        <w:numPr>
          <w:ilvl w:val="0"/>
          <w:numId w:val="1"/>
        </w:numPr>
        <w:rPr>
          <w:sz w:val="22"/>
          <w:szCs w:val="22"/>
        </w:rPr>
      </w:pPr>
      <w:r w:rsidRPr="00D050EB">
        <w:rPr>
          <w:sz w:val="22"/>
          <w:szCs w:val="22"/>
        </w:rPr>
        <w:t xml:space="preserve">Overseeing </w:t>
      </w:r>
      <w:r w:rsidR="007F6D90" w:rsidRPr="00D050EB">
        <w:rPr>
          <w:sz w:val="22"/>
          <w:szCs w:val="22"/>
        </w:rPr>
        <w:t xml:space="preserve">the progress of a property's </w:t>
      </w:r>
      <w:r w:rsidRPr="00D050EB">
        <w:rPr>
          <w:sz w:val="22"/>
          <w:szCs w:val="22"/>
        </w:rPr>
        <w:t>repairs and maintenance completion, b</w:t>
      </w:r>
      <w:r w:rsidR="007F6D90" w:rsidRPr="00D050EB">
        <w:rPr>
          <w:sz w:val="22"/>
          <w:szCs w:val="22"/>
        </w:rPr>
        <w:t>etween site visits</w:t>
      </w:r>
      <w:r w:rsidRPr="00D050EB">
        <w:rPr>
          <w:sz w:val="22"/>
          <w:szCs w:val="22"/>
        </w:rPr>
        <w:t xml:space="preserve"> conducted by Housing Officers. </w:t>
      </w:r>
    </w:p>
    <w:p w14:paraId="1A618F84" w14:textId="77777777" w:rsidR="00B90A66" w:rsidRDefault="00B90A66" w:rsidP="00B90A66">
      <w:pPr>
        <w:pStyle w:val="ListParagraph"/>
        <w:rPr>
          <w:sz w:val="22"/>
          <w:szCs w:val="22"/>
        </w:rPr>
      </w:pPr>
    </w:p>
    <w:p w14:paraId="11A0758E" w14:textId="2BF646E8" w:rsidR="007F6D90" w:rsidRDefault="00B90A66" w:rsidP="00B90A66">
      <w:pPr>
        <w:pStyle w:val="ListParagraph"/>
        <w:numPr>
          <w:ilvl w:val="0"/>
          <w:numId w:val="2"/>
        </w:numPr>
        <w:rPr>
          <w:b/>
          <w:bCs/>
          <w:sz w:val="22"/>
          <w:szCs w:val="22"/>
          <w:u w:val="single"/>
        </w:rPr>
      </w:pPr>
      <w:r w:rsidRPr="00B90A66">
        <w:rPr>
          <w:b/>
          <w:bCs/>
          <w:sz w:val="22"/>
          <w:szCs w:val="22"/>
          <w:u w:val="single"/>
        </w:rPr>
        <w:t>Stage 2 Complaints Received 01/04/2024– 01/04/2025</w:t>
      </w:r>
    </w:p>
    <w:p w14:paraId="59CB47A2" w14:textId="77777777" w:rsidR="00BA01A0" w:rsidRDefault="00BA01A0" w:rsidP="00BA01A0">
      <w:pPr>
        <w:pStyle w:val="ListParagraph"/>
        <w:rPr>
          <w:b/>
          <w:bCs/>
          <w:sz w:val="22"/>
          <w:szCs w:val="22"/>
          <w:u w:val="single"/>
        </w:rPr>
      </w:pPr>
    </w:p>
    <w:p w14:paraId="1A906800" w14:textId="0044E5B8" w:rsidR="00B90A66" w:rsidRDefault="00B90A66" w:rsidP="00B90A66">
      <w:pPr>
        <w:pStyle w:val="ListParagraph"/>
        <w:numPr>
          <w:ilvl w:val="1"/>
          <w:numId w:val="2"/>
        </w:numPr>
        <w:rPr>
          <w:b/>
          <w:bCs/>
          <w:sz w:val="22"/>
          <w:szCs w:val="22"/>
        </w:rPr>
      </w:pPr>
      <w:r w:rsidRPr="00B90A66">
        <w:rPr>
          <w:b/>
          <w:bCs/>
          <w:sz w:val="22"/>
          <w:szCs w:val="22"/>
        </w:rPr>
        <w:t xml:space="preserve">Complaints Summary </w:t>
      </w:r>
    </w:p>
    <w:tbl>
      <w:tblPr>
        <w:tblStyle w:val="TableGrid"/>
        <w:tblW w:w="0" w:type="auto"/>
        <w:tblInd w:w="-5" w:type="dxa"/>
        <w:tblLook w:val="04A0" w:firstRow="1" w:lastRow="0" w:firstColumn="1" w:lastColumn="0" w:noHBand="0" w:noVBand="1"/>
      </w:tblPr>
      <w:tblGrid>
        <w:gridCol w:w="2552"/>
        <w:gridCol w:w="2551"/>
        <w:gridCol w:w="3918"/>
      </w:tblGrid>
      <w:tr w:rsidR="00B90A66" w14:paraId="4ED07427" w14:textId="77777777" w:rsidTr="00EC4DFA">
        <w:tc>
          <w:tcPr>
            <w:tcW w:w="2552" w:type="dxa"/>
            <w:shd w:val="clear" w:color="auto" w:fill="0B769F" w:themeFill="accent4" w:themeFillShade="BF"/>
          </w:tcPr>
          <w:p w14:paraId="0B15C20A" w14:textId="2F9B8011" w:rsidR="00B90A66" w:rsidRDefault="00B90A66" w:rsidP="00B90A66">
            <w:pPr>
              <w:pStyle w:val="ListParagraph"/>
              <w:ind w:left="0"/>
              <w:rPr>
                <w:b/>
                <w:bCs/>
                <w:sz w:val="22"/>
                <w:szCs w:val="22"/>
              </w:rPr>
            </w:pPr>
            <w:r w:rsidRPr="00DF3807">
              <w:rPr>
                <w:b/>
                <w:bCs/>
                <w:color w:val="FFFFFF" w:themeColor="background1"/>
                <w:sz w:val="22"/>
                <w:szCs w:val="22"/>
              </w:rPr>
              <w:t>Number of Complaints</w:t>
            </w:r>
          </w:p>
        </w:tc>
        <w:tc>
          <w:tcPr>
            <w:tcW w:w="2551" w:type="dxa"/>
            <w:shd w:val="clear" w:color="auto" w:fill="0B769F" w:themeFill="accent4" w:themeFillShade="BF"/>
          </w:tcPr>
          <w:p w14:paraId="5CC1AB89" w14:textId="6558B088" w:rsidR="00B90A66" w:rsidRDefault="00B90A66" w:rsidP="00B90A66">
            <w:pPr>
              <w:pStyle w:val="ListParagraph"/>
              <w:ind w:left="0"/>
              <w:rPr>
                <w:b/>
                <w:bCs/>
                <w:sz w:val="22"/>
                <w:szCs w:val="22"/>
              </w:rPr>
            </w:pPr>
            <w:r w:rsidRPr="00DF3807">
              <w:rPr>
                <w:b/>
                <w:bCs/>
                <w:color w:val="FFFFFF" w:themeColor="background1"/>
                <w:sz w:val="22"/>
                <w:szCs w:val="22"/>
              </w:rPr>
              <w:t>Type of Complaint</w:t>
            </w:r>
          </w:p>
        </w:tc>
        <w:tc>
          <w:tcPr>
            <w:tcW w:w="3918" w:type="dxa"/>
            <w:shd w:val="clear" w:color="auto" w:fill="0B769F" w:themeFill="accent4" w:themeFillShade="BF"/>
          </w:tcPr>
          <w:p w14:paraId="0CDE7F90" w14:textId="43FB04D9" w:rsidR="00B90A66" w:rsidRDefault="00B90A66" w:rsidP="00B90A66">
            <w:pPr>
              <w:pStyle w:val="ListParagraph"/>
              <w:ind w:left="0"/>
              <w:rPr>
                <w:b/>
                <w:bCs/>
                <w:sz w:val="22"/>
                <w:szCs w:val="22"/>
              </w:rPr>
            </w:pPr>
            <w:r w:rsidRPr="00DF3807">
              <w:rPr>
                <w:b/>
                <w:bCs/>
                <w:color w:val="FFFFFF" w:themeColor="background1"/>
                <w:sz w:val="22"/>
                <w:szCs w:val="22"/>
              </w:rPr>
              <w:t xml:space="preserve">Summary </w:t>
            </w:r>
          </w:p>
        </w:tc>
      </w:tr>
      <w:tr w:rsidR="00B90A66" w14:paraId="3E3BECBD" w14:textId="77777777" w:rsidTr="00EC4DFA">
        <w:tc>
          <w:tcPr>
            <w:tcW w:w="2552" w:type="dxa"/>
          </w:tcPr>
          <w:p w14:paraId="2E04E8E4" w14:textId="502B31AA" w:rsidR="00B90A66" w:rsidRPr="00B90A66" w:rsidRDefault="00B90A66" w:rsidP="00B90A66">
            <w:pPr>
              <w:pStyle w:val="ListParagraph"/>
              <w:ind w:left="0"/>
              <w:rPr>
                <w:sz w:val="22"/>
                <w:szCs w:val="22"/>
              </w:rPr>
            </w:pPr>
            <w:r w:rsidRPr="00B90A66">
              <w:rPr>
                <w:sz w:val="22"/>
                <w:szCs w:val="22"/>
              </w:rPr>
              <w:t>2</w:t>
            </w:r>
          </w:p>
        </w:tc>
        <w:tc>
          <w:tcPr>
            <w:tcW w:w="2551" w:type="dxa"/>
          </w:tcPr>
          <w:p w14:paraId="0D673BD0" w14:textId="776A2B6B" w:rsidR="00B90A66" w:rsidRPr="00B90A66" w:rsidRDefault="00B90A66" w:rsidP="00B90A66">
            <w:pPr>
              <w:pStyle w:val="ListParagraph"/>
              <w:ind w:left="0"/>
              <w:rPr>
                <w:sz w:val="22"/>
                <w:szCs w:val="22"/>
              </w:rPr>
            </w:pPr>
            <w:r w:rsidRPr="00B90A66">
              <w:rPr>
                <w:sz w:val="22"/>
                <w:szCs w:val="22"/>
              </w:rPr>
              <w:t>Anti-Social Behaviour</w:t>
            </w:r>
          </w:p>
        </w:tc>
        <w:tc>
          <w:tcPr>
            <w:tcW w:w="3918" w:type="dxa"/>
          </w:tcPr>
          <w:p w14:paraId="51C60709" w14:textId="2CE1F94B" w:rsidR="00B90A66" w:rsidRDefault="00B90A66" w:rsidP="00B90A66">
            <w:pPr>
              <w:pStyle w:val="ListParagraph"/>
              <w:ind w:left="0"/>
              <w:rPr>
                <w:sz w:val="22"/>
                <w:szCs w:val="22"/>
              </w:rPr>
            </w:pPr>
            <w:r>
              <w:rPr>
                <w:sz w:val="22"/>
                <w:szCs w:val="22"/>
              </w:rPr>
              <w:t>1 – Noise</w:t>
            </w:r>
          </w:p>
          <w:p w14:paraId="4C6E4AE4" w14:textId="4FB95A9B" w:rsidR="00B90A66" w:rsidRPr="00B90A66" w:rsidRDefault="00B90A66" w:rsidP="00B90A66">
            <w:pPr>
              <w:pStyle w:val="ListParagraph"/>
              <w:ind w:left="0"/>
              <w:rPr>
                <w:sz w:val="22"/>
                <w:szCs w:val="22"/>
              </w:rPr>
            </w:pPr>
            <w:r>
              <w:rPr>
                <w:sz w:val="22"/>
                <w:szCs w:val="22"/>
              </w:rPr>
              <w:t>1 – ASB from others</w:t>
            </w:r>
          </w:p>
        </w:tc>
      </w:tr>
      <w:tr w:rsidR="00B90A66" w14:paraId="54CE9231" w14:textId="77777777" w:rsidTr="00EC4DFA">
        <w:tc>
          <w:tcPr>
            <w:tcW w:w="2552" w:type="dxa"/>
          </w:tcPr>
          <w:p w14:paraId="1BF5D552" w14:textId="5327EBAC" w:rsidR="00B90A66" w:rsidRPr="00B90A66" w:rsidRDefault="00B90A66" w:rsidP="00B90A66">
            <w:pPr>
              <w:pStyle w:val="ListParagraph"/>
              <w:ind w:left="0"/>
              <w:rPr>
                <w:sz w:val="22"/>
                <w:szCs w:val="22"/>
              </w:rPr>
            </w:pPr>
            <w:r>
              <w:rPr>
                <w:sz w:val="22"/>
                <w:szCs w:val="22"/>
              </w:rPr>
              <w:t>1</w:t>
            </w:r>
          </w:p>
        </w:tc>
        <w:tc>
          <w:tcPr>
            <w:tcW w:w="2551" w:type="dxa"/>
          </w:tcPr>
          <w:p w14:paraId="41056948" w14:textId="753C1EBA" w:rsidR="00B90A66" w:rsidRPr="00B90A66" w:rsidRDefault="00B90A66" w:rsidP="00B90A66">
            <w:pPr>
              <w:pStyle w:val="ListParagraph"/>
              <w:ind w:left="0"/>
              <w:rPr>
                <w:sz w:val="22"/>
                <w:szCs w:val="22"/>
              </w:rPr>
            </w:pPr>
            <w:r>
              <w:rPr>
                <w:sz w:val="22"/>
                <w:szCs w:val="22"/>
              </w:rPr>
              <w:t>Rents</w:t>
            </w:r>
          </w:p>
        </w:tc>
        <w:tc>
          <w:tcPr>
            <w:tcW w:w="3918" w:type="dxa"/>
          </w:tcPr>
          <w:p w14:paraId="07A4B55E" w14:textId="6953759F" w:rsidR="00B90A66" w:rsidRPr="00B90A66" w:rsidRDefault="00B90A66" w:rsidP="00B90A66">
            <w:pPr>
              <w:pStyle w:val="ListParagraph"/>
              <w:ind w:left="0"/>
              <w:rPr>
                <w:sz w:val="22"/>
                <w:szCs w:val="22"/>
              </w:rPr>
            </w:pPr>
            <w:r>
              <w:rPr>
                <w:sz w:val="22"/>
                <w:szCs w:val="22"/>
              </w:rPr>
              <w:t>1 – Arrears on the customer's account</w:t>
            </w:r>
          </w:p>
        </w:tc>
      </w:tr>
    </w:tbl>
    <w:p w14:paraId="53C2FCE1" w14:textId="77777777" w:rsidR="00B90A66" w:rsidRDefault="00B90A66" w:rsidP="00B90A66">
      <w:pPr>
        <w:spacing w:after="0"/>
        <w:rPr>
          <w:b/>
          <w:bCs/>
          <w:sz w:val="22"/>
          <w:szCs w:val="22"/>
        </w:rPr>
      </w:pPr>
    </w:p>
    <w:p w14:paraId="46523EAD" w14:textId="3EFD9D22" w:rsidR="00B90A66" w:rsidRPr="00B90A66" w:rsidRDefault="00B90A66" w:rsidP="00B90A66">
      <w:pPr>
        <w:pStyle w:val="ListParagraph"/>
        <w:numPr>
          <w:ilvl w:val="1"/>
          <w:numId w:val="2"/>
        </w:numPr>
        <w:spacing w:after="0"/>
        <w:rPr>
          <w:b/>
          <w:bCs/>
          <w:sz w:val="22"/>
          <w:szCs w:val="22"/>
        </w:rPr>
      </w:pPr>
      <w:r w:rsidRPr="00B90A66">
        <w:rPr>
          <w:b/>
          <w:bCs/>
          <w:sz w:val="22"/>
          <w:szCs w:val="22"/>
        </w:rPr>
        <w:t xml:space="preserve">Complaint Responses – Timescales </w:t>
      </w:r>
    </w:p>
    <w:p w14:paraId="4E038E07" w14:textId="5DC8CA9C" w:rsidR="00B90A66" w:rsidRPr="00B90A66" w:rsidRDefault="00B90A66" w:rsidP="00B90A66">
      <w:pPr>
        <w:rPr>
          <w:sz w:val="22"/>
          <w:szCs w:val="22"/>
        </w:rPr>
      </w:pPr>
      <w:r>
        <w:rPr>
          <w:sz w:val="22"/>
          <w:szCs w:val="22"/>
        </w:rPr>
        <w:t xml:space="preserve">All three complaints </w:t>
      </w:r>
      <w:r w:rsidRPr="00D050EB">
        <w:rPr>
          <w:sz w:val="22"/>
          <w:szCs w:val="22"/>
        </w:rPr>
        <w:t xml:space="preserve">received at Stage 2 were acknowledged and responded to within the relevant timescales, as set </w:t>
      </w:r>
      <w:r w:rsidR="00BA01A0" w:rsidRPr="00D050EB">
        <w:rPr>
          <w:sz w:val="22"/>
          <w:szCs w:val="22"/>
        </w:rPr>
        <w:t xml:space="preserve">out </w:t>
      </w:r>
      <w:r w:rsidRPr="00D050EB">
        <w:rPr>
          <w:sz w:val="22"/>
          <w:szCs w:val="22"/>
        </w:rPr>
        <w:t xml:space="preserve">within the Housing Ombudsman’s Complaint Handling Code, 2024. </w:t>
      </w:r>
    </w:p>
    <w:p w14:paraId="535CA2F4" w14:textId="77AF07F8" w:rsidR="00B90A66" w:rsidRPr="00D050EB" w:rsidRDefault="00B90A66" w:rsidP="00B90A66">
      <w:pPr>
        <w:pStyle w:val="ListParagraph"/>
        <w:numPr>
          <w:ilvl w:val="1"/>
          <w:numId w:val="2"/>
        </w:numPr>
        <w:rPr>
          <w:b/>
          <w:bCs/>
          <w:sz w:val="22"/>
          <w:szCs w:val="22"/>
        </w:rPr>
      </w:pPr>
      <w:r w:rsidRPr="00B90A66">
        <w:rPr>
          <w:b/>
          <w:bCs/>
          <w:sz w:val="22"/>
          <w:szCs w:val="22"/>
        </w:rPr>
        <w:t>Complaint Responses – Outcome</w:t>
      </w:r>
      <w:r w:rsidRPr="00B90A66">
        <w:rPr>
          <w:b/>
          <w:bCs/>
          <w:sz w:val="22"/>
          <w:szCs w:val="22"/>
        </w:rPr>
        <w:tab/>
      </w:r>
    </w:p>
    <w:p w14:paraId="5DA7ECA0" w14:textId="16DC2650" w:rsidR="00EC4DFA" w:rsidRPr="00D050EB" w:rsidRDefault="00EC4DFA" w:rsidP="00EC4DFA">
      <w:pPr>
        <w:rPr>
          <w:sz w:val="22"/>
          <w:szCs w:val="22"/>
        </w:rPr>
      </w:pPr>
      <w:r w:rsidRPr="00D050EB">
        <w:rPr>
          <w:sz w:val="22"/>
          <w:szCs w:val="22"/>
        </w:rPr>
        <w:t>All three of the complaints were upheld, and the outcome</w:t>
      </w:r>
      <w:r w:rsidR="00BA01A0" w:rsidRPr="00D050EB">
        <w:rPr>
          <w:sz w:val="22"/>
          <w:szCs w:val="22"/>
        </w:rPr>
        <w:t xml:space="preserve">s were </w:t>
      </w:r>
      <w:r w:rsidRPr="00D050EB">
        <w:rPr>
          <w:sz w:val="22"/>
          <w:szCs w:val="22"/>
        </w:rPr>
        <w:t xml:space="preserve">as follows: </w:t>
      </w:r>
    </w:p>
    <w:p w14:paraId="40F532C0" w14:textId="4C504D87" w:rsidR="00B90A66" w:rsidRDefault="00D050EB" w:rsidP="00EC4DFA">
      <w:pPr>
        <w:pStyle w:val="ListParagraph"/>
        <w:numPr>
          <w:ilvl w:val="0"/>
          <w:numId w:val="1"/>
        </w:numPr>
        <w:rPr>
          <w:sz w:val="22"/>
          <w:szCs w:val="22"/>
        </w:rPr>
      </w:pPr>
      <w:r>
        <w:rPr>
          <w:sz w:val="22"/>
          <w:szCs w:val="22"/>
        </w:rPr>
        <w:t>1 Compliant resulted in d</w:t>
      </w:r>
      <w:r w:rsidR="00B90A66">
        <w:rPr>
          <w:sz w:val="22"/>
          <w:szCs w:val="22"/>
        </w:rPr>
        <w:t xml:space="preserve">ebt </w:t>
      </w:r>
      <w:r w:rsidR="00546DA9">
        <w:rPr>
          <w:sz w:val="22"/>
          <w:szCs w:val="22"/>
        </w:rPr>
        <w:t xml:space="preserve">being </w:t>
      </w:r>
      <w:r w:rsidR="00B90A66">
        <w:rPr>
          <w:sz w:val="22"/>
          <w:szCs w:val="22"/>
        </w:rPr>
        <w:t>written off on customer's rent account.</w:t>
      </w:r>
    </w:p>
    <w:p w14:paraId="1A99DB92" w14:textId="02866E1E" w:rsidR="00EC4DFA" w:rsidRPr="00546DA9" w:rsidRDefault="00546DA9" w:rsidP="00EC4DFA">
      <w:pPr>
        <w:pStyle w:val="ListParagraph"/>
        <w:numPr>
          <w:ilvl w:val="0"/>
          <w:numId w:val="1"/>
        </w:numPr>
        <w:rPr>
          <w:sz w:val="22"/>
          <w:szCs w:val="22"/>
        </w:rPr>
      </w:pPr>
      <w:r w:rsidRPr="00546DA9">
        <w:rPr>
          <w:sz w:val="22"/>
          <w:szCs w:val="22"/>
        </w:rPr>
        <w:t xml:space="preserve">2 Complaint’s associated with Anti-Social Behaviour resulted in a </w:t>
      </w:r>
      <w:r w:rsidR="00EC4DFA" w:rsidRPr="00546DA9">
        <w:rPr>
          <w:sz w:val="22"/>
          <w:szCs w:val="22"/>
        </w:rPr>
        <w:t xml:space="preserve">Multi-Disciplinary </w:t>
      </w:r>
      <w:r w:rsidRPr="00546DA9">
        <w:rPr>
          <w:sz w:val="22"/>
          <w:szCs w:val="22"/>
        </w:rPr>
        <w:t xml:space="preserve">Team (MDT) </w:t>
      </w:r>
      <w:r w:rsidR="00EC4DFA" w:rsidRPr="00546DA9">
        <w:rPr>
          <w:sz w:val="22"/>
          <w:szCs w:val="22"/>
        </w:rPr>
        <w:t xml:space="preserve">Meeting </w:t>
      </w:r>
      <w:r w:rsidRPr="00546DA9">
        <w:rPr>
          <w:sz w:val="22"/>
          <w:szCs w:val="22"/>
        </w:rPr>
        <w:t>being arranged and attended</w:t>
      </w:r>
      <w:r w:rsidR="00EC4DFA" w:rsidRPr="00546DA9">
        <w:rPr>
          <w:sz w:val="22"/>
          <w:szCs w:val="22"/>
        </w:rPr>
        <w:t>.</w:t>
      </w:r>
      <w:r w:rsidRPr="00546DA9">
        <w:rPr>
          <w:sz w:val="22"/>
          <w:szCs w:val="22"/>
        </w:rPr>
        <w:t xml:space="preserve"> </w:t>
      </w:r>
    </w:p>
    <w:p w14:paraId="0815C50B" w14:textId="1F49B7DE" w:rsidR="00EC4DFA" w:rsidRPr="00546DA9" w:rsidRDefault="00EC4DFA" w:rsidP="00EC4DFA">
      <w:pPr>
        <w:pStyle w:val="ListParagraph"/>
        <w:numPr>
          <w:ilvl w:val="1"/>
          <w:numId w:val="2"/>
        </w:numPr>
        <w:rPr>
          <w:b/>
          <w:bCs/>
          <w:sz w:val="22"/>
          <w:szCs w:val="22"/>
        </w:rPr>
      </w:pPr>
      <w:r w:rsidRPr="00546DA9">
        <w:rPr>
          <w:b/>
          <w:bCs/>
          <w:sz w:val="22"/>
          <w:szCs w:val="22"/>
        </w:rPr>
        <w:lastRenderedPageBreak/>
        <w:t>Lessons Learn</w:t>
      </w:r>
      <w:r w:rsidR="00BA01A0" w:rsidRPr="00546DA9">
        <w:rPr>
          <w:b/>
          <w:bCs/>
          <w:sz w:val="22"/>
          <w:szCs w:val="22"/>
        </w:rPr>
        <w:t>ed</w:t>
      </w:r>
    </w:p>
    <w:p w14:paraId="15B04009" w14:textId="77777777" w:rsidR="00BA01A0" w:rsidRPr="00546DA9" w:rsidRDefault="00BA01A0" w:rsidP="00EC4DFA">
      <w:pPr>
        <w:rPr>
          <w:sz w:val="22"/>
          <w:szCs w:val="22"/>
        </w:rPr>
      </w:pPr>
      <w:r w:rsidRPr="00546DA9">
        <w:rPr>
          <w:sz w:val="22"/>
          <w:szCs w:val="22"/>
        </w:rPr>
        <w:t xml:space="preserve">Lessons learned following the Stage 2 complaints were as follows: </w:t>
      </w:r>
    </w:p>
    <w:p w14:paraId="1A50B916" w14:textId="7C9539D7" w:rsidR="0092229F" w:rsidRPr="00546DA9" w:rsidRDefault="00BA01A0" w:rsidP="00EC4DFA">
      <w:pPr>
        <w:pStyle w:val="ListParagraph"/>
        <w:numPr>
          <w:ilvl w:val="0"/>
          <w:numId w:val="1"/>
        </w:numPr>
        <w:rPr>
          <w:sz w:val="22"/>
          <w:szCs w:val="22"/>
        </w:rPr>
      </w:pPr>
      <w:r w:rsidRPr="00546DA9">
        <w:rPr>
          <w:sz w:val="22"/>
          <w:szCs w:val="22"/>
        </w:rPr>
        <w:t xml:space="preserve">We have </w:t>
      </w:r>
      <w:r w:rsidR="00EC4DFA" w:rsidRPr="00546DA9">
        <w:rPr>
          <w:sz w:val="22"/>
          <w:szCs w:val="22"/>
        </w:rPr>
        <w:t>enhanced our involvement at the referral stage to review more complex matters of the customers who are being referred to our services</w:t>
      </w:r>
      <w:r w:rsidR="00546DA9" w:rsidRPr="00546DA9">
        <w:rPr>
          <w:sz w:val="22"/>
          <w:szCs w:val="22"/>
        </w:rPr>
        <w:t xml:space="preserve">. AHS has subsequently, updated our referral documentation to request additional information, to give us more information before accepting customers for our tenancies, to ensure that we are able to provide appropriate support for those with complex needs, and that they are appropriately housed. </w:t>
      </w:r>
    </w:p>
    <w:p w14:paraId="32BBD0F7" w14:textId="77777777" w:rsidR="00546DA9" w:rsidRPr="00546DA9" w:rsidRDefault="00546DA9" w:rsidP="00546DA9">
      <w:pPr>
        <w:pStyle w:val="ListParagraph"/>
        <w:rPr>
          <w:sz w:val="22"/>
          <w:szCs w:val="22"/>
        </w:rPr>
      </w:pPr>
    </w:p>
    <w:p w14:paraId="52F98CD7" w14:textId="543F1994" w:rsidR="00EC4DFA" w:rsidRPr="00546DA9" w:rsidRDefault="00EC4DFA" w:rsidP="00EC4DFA">
      <w:pPr>
        <w:pStyle w:val="ListParagraph"/>
        <w:numPr>
          <w:ilvl w:val="0"/>
          <w:numId w:val="2"/>
        </w:numPr>
        <w:rPr>
          <w:b/>
          <w:bCs/>
          <w:sz w:val="22"/>
          <w:szCs w:val="22"/>
        </w:rPr>
      </w:pPr>
      <w:r w:rsidRPr="00546DA9">
        <w:rPr>
          <w:b/>
          <w:bCs/>
          <w:sz w:val="22"/>
          <w:szCs w:val="22"/>
        </w:rPr>
        <w:t xml:space="preserve">Service Improvement Plan </w:t>
      </w:r>
    </w:p>
    <w:tbl>
      <w:tblPr>
        <w:tblStyle w:val="TableGrid"/>
        <w:tblW w:w="0" w:type="auto"/>
        <w:tblLook w:val="04A0" w:firstRow="1" w:lastRow="0" w:firstColumn="1" w:lastColumn="0" w:noHBand="0" w:noVBand="1"/>
      </w:tblPr>
      <w:tblGrid>
        <w:gridCol w:w="561"/>
        <w:gridCol w:w="3013"/>
        <w:gridCol w:w="1484"/>
        <w:gridCol w:w="2596"/>
        <w:gridCol w:w="1362"/>
      </w:tblGrid>
      <w:tr w:rsidR="00546DA9" w:rsidRPr="00546DA9" w14:paraId="2CC4E968" w14:textId="77777777" w:rsidTr="0092229F">
        <w:tc>
          <w:tcPr>
            <w:tcW w:w="562" w:type="dxa"/>
            <w:shd w:val="clear" w:color="auto" w:fill="0B769F" w:themeFill="accent4" w:themeFillShade="BF"/>
          </w:tcPr>
          <w:p w14:paraId="21039D38" w14:textId="6CEAC748" w:rsidR="00EC4DFA" w:rsidRPr="00546DA9" w:rsidRDefault="00EC4DFA" w:rsidP="00EC4DFA">
            <w:pPr>
              <w:rPr>
                <w:b/>
                <w:bCs/>
                <w:color w:val="FFFFFF" w:themeColor="background1"/>
                <w:sz w:val="22"/>
                <w:szCs w:val="22"/>
              </w:rPr>
            </w:pPr>
            <w:r w:rsidRPr="00546DA9">
              <w:rPr>
                <w:b/>
                <w:bCs/>
                <w:color w:val="FFFFFF" w:themeColor="background1"/>
                <w:sz w:val="22"/>
                <w:szCs w:val="22"/>
              </w:rPr>
              <w:t xml:space="preserve">Ref </w:t>
            </w:r>
          </w:p>
        </w:tc>
        <w:tc>
          <w:tcPr>
            <w:tcW w:w="3096" w:type="dxa"/>
            <w:shd w:val="clear" w:color="auto" w:fill="0B769F" w:themeFill="accent4" w:themeFillShade="BF"/>
          </w:tcPr>
          <w:p w14:paraId="22B320AC" w14:textId="2CC3F6F3" w:rsidR="00EC4DFA" w:rsidRPr="00546DA9" w:rsidRDefault="00EC4DFA" w:rsidP="00EC4DFA">
            <w:pPr>
              <w:rPr>
                <w:b/>
                <w:bCs/>
                <w:color w:val="FFFFFF" w:themeColor="background1"/>
                <w:sz w:val="22"/>
                <w:szCs w:val="22"/>
              </w:rPr>
            </w:pPr>
            <w:r w:rsidRPr="00546DA9">
              <w:rPr>
                <w:b/>
                <w:bCs/>
                <w:color w:val="FFFFFF" w:themeColor="background1"/>
                <w:sz w:val="22"/>
                <w:szCs w:val="22"/>
              </w:rPr>
              <w:t>Action</w:t>
            </w:r>
          </w:p>
        </w:tc>
        <w:tc>
          <w:tcPr>
            <w:tcW w:w="1327" w:type="dxa"/>
            <w:shd w:val="clear" w:color="auto" w:fill="0B769F" w:themeFill="accent4" w:themeFillShade="BF"/>
          </w:tcPr>
          <w:p w14:paraId="4CF92A38" w14:textId="0640863A" w:rsidR="00EC4DFA" w:rsidRPr="00546DA9" w:rsidRDefault="00EC4DFA" w:rsidP="00EC4DFA">
            <w:pPr>
              <w:rPr>
                <w:b/>
                <w:bCs/>
                <w:color w:val="FFFFFF" w:themeColor="background1"/>
                <w:sz w:val="22"/>
                <w:szCs w:val="22"/>
              </w:rPr>
            </w:pPr>
            <w:r w:rsidRPr="00546DA9">
              <w:rPr>
                <w:b/>
                <w:bCs/>
                <w:color w:val="FFFFFF" w:themeColor="background1"/>
                <w:sz w:val="22"/>
                <w:szCs w:val="22"/>
              </w:rPr>
              <w:t>Lead</w:t>
            </w:r>
          </w:p>
        </w:tc>
        <w:tc>
          <w:tcPr>
            <w:tcW w:w="2665" w:type="dxa"/>
            <w:shd w:val="clear" w:color="auto" w:fill="0B769F" w:themeFill="accent4" w:themeFillShade="BF"/>
          </w:tcPr>
          <w:p w14:paraId="0DD587FB" w14:textId="5F637E9F" w:rsidR="00EC4DFA" w:rsidRPr="00546DA9" w:rsidRDefault="00EC4DFA" w:rsidP="00EC4DFA">
            <w:pPr>
              <w:rPr>
                <w:b/>
                <w:bCs/>
                <w:color w:val="FFFFFF" w:themeColor="background1"/>
                <w:sz w:val="22"/>
                <w:szCs w:val="22"/>
              </w:rPr>
            </w:pPr>
            <w:r w:rsidRPr="00546DA9">
              <w:rPr>
                <w:b/>
                <w:bCs/>
                <w:color w:val="FFFFFF" w:themeColor="background1"/>
                <w:sz w:val="22"/>
                <w:szCs w:val="22"/>
              </w:rPr>
              <w:t>Pre-requisite for Completion</w:t>
            </w:r>
          </w:p>
        </w:tc>
        <w:tc>
          <w:tcPr>
            <w:tcW w:w="1366" w:type="dxa"/>
            <w:shd w:val="clear" w:color="auto" w:fill="0B769F" w:themeFill="accent4" w:themeFillShade="BF"/>
          </w:tcPr>
          <w:p w14:paraId="53CE4F4C" w14:textId="7439ADBD" w:rsidR="00EC4DFA" w:rsidRPr="00546DA9" w:rsidRDefault="00EC4DFA" w:rsidP="00EC4DFA">
            <w:pPr>
              <w:rPr>
                <w:b/>
                <w:bCs/>
                <w:color w:val="FFFFFF" w:themeColor="background1"/>
                <w:sz w:val="22"/>
                <w:szCs w:val="22"/>
              </w:rPr>
            </w:pPr>
            <w:r w:rsidRPr="00546DA9">
              <w:rPr>
                <w:b/>
                <w:bCs/>
                <w:color w:val="FFFFFF" w:themeColor="background1"/>
                <w:sz w:val="22"/>
                <w:szCs w:val="22"/>
              </w:rPr>
              <w:t xml:space="preserve">Deadline </w:t>
            </w:r>
          </w:p>
        </w:tc>
      </w:tr>
      <w:tr w:rsidR="00546DA9" w:rsidRPr="00546DA9" w14:paraId="6C8F44D3" w14:textId="77777777" w:rsidTr="0092229F">
        <w:tc>
          <w:tcPr>
            <w:tcW w:w="562" w:type="dxa"/>
          </w:tcPr>
          <w:p w14:paraId="193B099C" w14:textId="170E5741" w:rsidR="00EC4DFA" w:rsidRPr="00546DA9" w:rsidRDefault="00EC4DFA" w:rsidP="00EC4DFA">
            <w:pPr>
              <w:rPr>
                <w:sz w:val="22"/>
                <w:szCs w:val="22"/>
              </w:rPr>
            </w:pPr>
            <w:r w:rsidRPr="00546DA9">
              <w:rPr>
                <w:sz w:val="22"/>
                <w:szCs w:val="22"/>
              </w:rPr>
              <w:t>1</w:t>
            </w:r>
          </w:p>
        </w:tc>
        <w:tc>
          <w:tcPr>
            <w:tcW w:w="3096" w:type="dxa"/>
          </w:tcPr>
          <w:p w14:paraId="08EC5C73" w14:textId="722DB2E9" w:rsidR="00EC4DFA" w:rsidRPr="00546DA9" w:rsidRDefault="007107C8" w:rsidP="007107C8">
            <w:pPr>
              <w:rPr>
                <w:sz w:val="22"/>
                <w:szCs w:val="22"/>
              </w:rPr>
            </w:pPr>
            <w:r w:rsidRPr="00546DA9">
              <w:rPr>
                <w:rFonts w:ascii="Aptos" w:hAnsi="Aptos"/>
                <w:sz w:val="22"/>
                <w:szCs w:val="22"/>
              </w:rPr>
              <w:t xml:space="preserve">Where a landlord’s complaint response is handled by a third party (e.g. a contractor or independent adjudicator) at any stage, it must form part of the two-stage complaints process set out in this Code. Residents </w:t>
            </w:r>
            <w:r w:rsidR="00EE1B1A" w:rsidRPr="00546DA9">
              <w:rPr>
                <w:rFonts w:ascii="Aptos" w:hAnsi="Aptos"/>
                <w:sz w:val="22"/>
                <w:szCs w:val="22"/>
              </w:rPr>
              <w:t xml:space="preserve">should not be expected to undergo two separate </w:t>
            </w:r>
            <w:r w:rsidRPr="00546DA9">
              <w:rPr>
                <w:rFonts w:ascii="Aptos" w:hAnsi="Aptos"/>
                <w:sz w:val="22"/>
                <w:szCs w:val="22"/>
              </w:rPr>
              <w:t>complaint processes.</w:t>
            </w:r>
          </w:p>
        </w:tc>
        <w:tc>
          <w:tcPr>
            <w:tcW w:w="1327" w:type="dxa"/>
          </w:tcPr>
          <w:p w14:paraId="6EA352C9" w14:textId="25BFFC1C" w:rsidR="00EC4DFA" w:rsidRPr="00546DA9" w:rsidRDefault="00EC4DFA" w:rsidP="00EC4DFA">
            <w:pPr>
              <w:rPr>
                <w:sz w:val="22"/>
                <w:szCs w:val="22"/>
              </w:rPr>
            </w:pPr>
            <w:r w:rsidRPr="00546DA9">
              <w:rPr>
                <w:sz w:val="22"/>
                <w:szCs w:val="22"/>
              </w:rPr>
              <w:t>Complaints Officer</w:t>
            </w:r>
          </w:p>
        </w:tc>
        <w:tc>
          <w:tcPr>
            <w:tcW w:w="2665" w:type="dxa"/>
          </w:tcPr>
          <w:p w14:paraId="55D83464" w14:textId="544A4FC5" w:rsidR="007107C8" w:rsidRPr="00546DA9" w:rsidRDefault="007107C8" w:rsidP="007107C8">
            <w:pPr>
              <w:rPr>
                <w:rFonts w:ascii="Aptos" w:hAnsi="Aptos"/>
                <w:sz w:val="22"/>
                <w:szCs w:val="22"/>
              </w:rPr>
            </w:pPr>
            <w:r w:rsidRPr="00546DA9">
              <w:rPr>
                <w:rFonts w:ascii="Aptos" w:hAnsi="Aptos"/>
                <w:sz w:val="22"/>
                <w:szCs w:val="22"/>
              </w:rPr>
              <w:t xml:space="preserve">To resume the process of capturing the Care </w:t>
            </w:r>
            <w:r w:rsidR="00BA01A0" w:rsidRPr="00546DA9">
              <w:rPr>
                <w:rFonts w:ascii="Aptos" w:hAnsi="Aptos"/>
                <w:sz w:val="22"/>
                <w:szCs w:val="22"/>
              </w:rPr>
              <w:t>P</w:t>
            </w:r>
            <w:r w:rsidRPr="00546DA9">
              <w:rPr>
                <w:rFonts w:ascii="Aptos" w:hAnsi="Aptos"/>
                <w:sz w:val="22"/>
                <w:szCs w:val="22"/>
              </w:rPr>
              <w:t xml:space="preserve">roviders/ Managing Agents' complaints quarterly, now that AHS is fully </w:t>
            </w:r>
            <w:r w:rsidR="00BA01A0" w:rsidRPr="00546DA9">
              <w:rPr>
                <w:rFonts w:ascii="Aptos" w:hAnsi="Aptos"/>
                <w:sz w:val="22"/>
                <w:szCs w:val="22"/>
              </w:rPr>
              <w:t>staffed</w:t>
            </w:r>
            <w:r w:rsidRPr="00546DA9">
              <w:rPr>
                <w:rFonts w:ascii="Aptos" w:hAnsi="Aptos"/>
                <w:sz w:val="22"/>
                <w:szCs w:val="22"/>
              </w:rPr>
              <w:t>.</w:t>
            </w:r>
          </w:p>
          <w:p w14:paraId="6A26B21D" w14:textId="77777777" w:rsidR="007107C8" w:rsidRPr="00546DA9" w:rsidRDefault="007107C8" w:rsidP="00EC4DFA">
            <w:pPr>
              <w:rPr>
                <w:sz w:val="22"/>
                <w:szCs w:val="22"/>
              </w:rPr>
            </w:pPr>
          </w:p>
          <w:p w14:paraId="0AABCCE7" w14:textId="625ECE8C" w:rsidR="00EC4DFA" w:rsidRPr="00546DA9" w:rsidRDefault="00EC4DFA" w:rsidP="00EC4DFA">
            <w:pPr>
              <w:rPr>
                <w:sz w:val="22"/>
                <w:szCs w:val="22"/>
              </w:rPr>
            </w:pPr>
            <w:r w:rsidRPr="00546DA9">
              <w:rPr>
                <w:sz w:val="22"/>
                <w:szCs w:val="22"/>
              </w:rPr>
              <w:t>AHS are to include this within their KPI reporting to the Board</w:t>
            </w:r>
          </w:p>
        </w:tc>
        <w:tc>
          <w:tcPr>
            <w:tcW w:w="1366" w:type="dxa"/>
          </w:tcPr>
          <w:p w14:paraId="3D3553CD" w14:textId="77777777" w:rsidR="00EC4DFA" w:rsidRPr="00546DA9" w:rsidRDefault="007107C8" w:rsidP="00EC4DFA">
            <w:pPr>
              <w:rPr>
                <w:sz w:val="22"/>
                <w:szCs w:val="22"/>
              </w:rPr>
            </w:pPr>
            <w:r w:rsidRPr="00546DA9">
              <w:rPr>
                <w:sz w:val="22"/>
                <w:szCs w:val="22"/>
              </w:rPr>
              <w:t>Next Meeting to be held by 31/10/2025</w:t>
            </w:r>
          </w:p>
          <w:p w14:paraId="4C537D02" w14:textId="77777777" w:rsidR="007107C8" w:rsidRPr="00546DA9" w:rsidRDefault="007107C8" w:rsidP="00EC4DFA">
            <w:pPr>
              <w:rPr>
                <w:sz w:val="22"/>
                <w:szCs w:val="22"/>
              </w:rPr>
            </w:pPr>
          </w:p>
          <w:p w14:paraId="7BE07256" w14:textId="15A8ACE4" w:rsidR="007107C8" w:rsidRPr="00546DA9" w:rsidRDefault="007107C8" w:rsidP="00EC4DFA">
            <w:pPr>
              <w:rPr>
                <w:sz w:val="22"/>
                <w:szCs w:val="22"/>
              </w:rPr>
            </w:pPr>
            <w:r w:rsidRPr="00546DA9">
              <w:rPr>
                <w:sz w:val="22"/>
                <w:szCs w:val="22"/>
              </w:rPr>
              <w:t xml:space="preserve">And then quarterly thereafter </w:t>
            </w:r>
          </w:p>
        </w:tc>
      </w:tr>
      <w:tr w:rsidR="00F05D38" w14:paraId="0546BDFD" w14:textId="77777777" w:rsidTr="0092229F">
        <w:tc>
          <w:tcPr>
            <w:tcW w:w="562" w:type="dxa"/>
          </w:tcPr>
          <w:p w14:paraId="4F504EF5" w14:textId="7E866F30" w:rsidR="00EC4DFA" w:rsidRPr="007107C8" w:rsidRDefault="007107C8" w:rsidP="00EC4DFA">
            <w:pPr>
              <w:rPr>
                <w:sz w:val="22"/>
                <w:szCs w:val="22"/>
              </w:rPr>
            </w:pPr>
            <w:r w:rsidRPr="007107C8">
              <w:rPr>
                <w:sz w:val="22"/>
                <w:szCs w:val="22"/>
              </w:rPr>
              <w:t>2</w:t>
            </w:r>
          </w:p>
        </w:tc>
        <w:tc>
          <w:tcPr>
            <w:tcW w:w="3096" w:type="dxa"/>
          </w:tcPr>
          <w:p w14:paraId="56F1F407" w14:textId="46E936A5" w:rsidR="00EC4DFA" w:rsidRPr="007107C8" w:rsidRDefault="007107C8" w:rsidP="00EC4DFA">
            <w:pPr>
              <w:rPr>
                <w:sz w:val="22"/>
                <w:szCs w:val="22"/>
              </w:rPr>
            </w:pPr>
            <w:r w:rsidRPr="007107C8">
              <w:rPr>
                <w:sz w:val="22"/>
                <w:szCs w:val="22"/>
              </w:rPr>
              <w:t xml:space="preserve">Review the online form and letter templates to inform complainants about reasonable adjustments, alternative communication options and their right to contact the Housing Ombudsman at any time during the complaints process. </w:t>
            </w:r>
          </w:p>
        </w:tc>
        <w:tc>
          <w:tcPr>
            <w:tcW w:w="1327" w:type="dxa"/>
          </w:tcPr>
          <w:p w14:paraId="1B2BA762" w14:textId="6F182880" w:rsidR="00EC4DFA" w:rsidRPr="007107C8" w:rsidRDefault="007107C8" w:rsidP="00EC4DFA">
            <w:pPr>
              <w:rPr>
                <w:sz w:val="22"/>
                <w:szCs w:val="22"/>
              </w:rPr>
            </w:pPr>
            <w:r w:rsidRPr="007107C8">
              <w:rPr>
                <w:sz w:val="22"/>
                <w:szCs w:val="22"/>
              </w:rPr>
              <w:t>Complaints Officer</w:t>
            </w:r>
          </w:p>
        </w:tc>
        <w:tc>
          <w:tcPr>
            <w:tcW w:w="2665" w:type="dxa"/>
          </w:tcPr>
          <w:p w14:paraId="74C11139" w14:textId="3A6DCB7A" w:rsidR="00EC4DFA" w:rsidRPr="007107C8" w:rsidRDefault="007107C8" w:rsidP="00EC4DFA">
            <w:pPr>
              <w:rPr>
                <w:sz w:val="22"/>
                <w:szCs w:val="22"/>
              </w:rPr>
            </w:pPr>
            <w:r w:rsidRPr="007107C8">
              <w:rPr>
                <w:sz w:val="22"/>
                <w:szCs w:val="22"/>
              </w:rPr>
              <w:t xml:space="preserve">Work with the website development team to inform complainants how their complaint will be dealt with, target timescales for responses and how they can get further support and information during the process and after it is exhausted. </w:t>
            </w:r>
          </w:p>
        </w:tc>
        <w:tc>
          <w:tcPr>
            <w:tcW w:w="1366" w:type="dxa"/>
          </w:tcPr>
          <w:p w14:paraId="2DBEA182" w14:textId="28DD6525" w:rsidR="00EC4DFA" w:rsidRPr="007107C8" w:rsidRDefault="007107C8" w:rsidP="00EC4DFA">
            <w:pPr>
              <w:rPr>
                <w:sz w:val="22"/>
                <w:szCs w:val="22"/>
              </w:rPr>
            </w:pPr>
            <w:r w:rsidRPr="007107C8">
              <w:rPr>
                <w:sz w:val="22"/>
                <w:szCs w:val="22"/>
              </w:rPr>
              <w:t>01/12/2025</w:t>
            </w:r>
          </w:p>
        </w:tc>
      </w:tr>
      <w:tr w:rsidR="00F05D38" w14:paraId="0F873284" w14:textId="77777777" w:rsidTr="0092229F">
        <w:tc>
          <w:tcPr>
            <w:tcW w:w="562" w:type="dxa"/>
          </w:tcPr>
          <w:p w14:paraId="05F34A83" w14:textId="05FF52B7" w:rsidR="00EC4DFA" w:rsidRPr="007107C8" w:rsidRDefault="007107C8" w:rsidP="00EC4DFA">
            <w:pPr>
              <w:rPr>
                <w:sz w:val="22"/>
                <w:szCs w:val="22"/>
              </w:rPr>
            </w:pPr>
            <w:r w:rsidRPr="007107C8">
              <w:rPr>
                <w:sz w:val="22"/>
                <w:szCs w:val="22"/>
              </w:rPr>
              <w:t>3</w:t>
            </w:r>
          </w:p>
        </w:tc>
        <w:tc>
          <w:tcPr>
            <w:tcW w:w="3096" w:type="dxa"/>
          </w:tcPr>
          <w:p w14:paraId="617E2E86" w14:textId="6110CAFE" w:rsidR="00EC4DFA" w:rsidRPr="007107C8" w:rsidRDefault="00EE1B1A" w:rsidP="00EC4DFA">
            <w:pPr>
              <w:rPr>
                <w:sz w:val="22"/>
                <w:szCs w:val="22"/>
              </w:rPr>
            </w:pPr>
            <w:r>
              <w:rPr>
                <w:sz w:val="22"/>
                <w:szCs w:val="22"/>
              </w:rPr>
              <w:t>Implement measures to evaluate the experiences of customers who have made complaints</w:t>
            </w:r>
            <w:r w:rsidR="007107C8" w:rsidRPr="007107C8">
              <w:rPr>
                <w:sz w:val="22"/>
                <w:szCs w:val="22"/>
              </w:rPr>
              <w:t xml:space="preserve">. </w:t>
            </w:r>
          </w:p>
        </w:tc>
        <w:tc>
          <w:tcPr>
            <w:tcW w:w="1327" w:type="dxa"/>
          </w:tcPr>
          <w:p w14:paraId="40CBA797" w14:textId="757A806D" w:rsidR="00EC4DFA" w:rsidRPr="007107C8" w:rsidRDefault="00EE1B1A" w:rsidP="00EC4DFA">
            <w:pPr>
              <w:rPr>
                <w:sz w:val="22"/>
                <w:szCs w:val="22"/>
              </w:rPr>
            </w:pPr>
            <w:r>
              <w:rPr>
                <w:sz w:val="22"/>
                <w:szCs w:val="22"/>
              </w:rPr>
              <w:t>Improvement Manager and Complaints Officer</w:t>
            </w:r>
          </w:p>
        </w:tc>
        <w:tc>
          <w:tcPr>
            <w:tcW w:w="2665" w:type="dxa"/>
          </w:tcPr>
          <w:p w14:paraId="5FE92EAF" w14:textId="00DBFC5E" w:rsidR="00EC4DFA" w:rsidRPr="007107C8" w:rsidRDefault="007107C8" w:rsidP="00EC4DFA">
            <w:pPr>
              <w:rPr>
                <w:sz w:val="22"/>
                <w:szCs w:val="22"/>
              </w:rPr>
            </w:pPr>
            <w:r w:rsidRPr="007107C8">
              <w:rPr>
                <w:sz w:val="22"/>
                <w:szCs w:val="22"/>
              </w:rPr>
              <w:t>To gather feedback and satisfaction of customers who have complained</w:t>
            </w:r>
          </w:p>
        </w:tc>
        <w:tc>
          <w:tcPr>
            <w:tcW w:w="1366" w:type="dxa"/>
          </w:tcPr>
          <w:p w14:paraId="0FB0DFD2" w14:textId="29C754BA" w:rsidR="00EC4DFA" w:rsidRPr="007107C8" w:rsidRDefault="007107C8" w:rsidP="00EC4DFA">
            <w:pPr>
              <w:rPr>
                <w:sz w:val="22"/>
                <w:szCs w:val="22"/>
              </w:rPr>
            </w:pPr>
            <w:r w:rsidRPr="007107C8">
              <w:rPr>
                <w:sz w:val="22"/>
                <w:szCs w:val="22"/>
              </w:rPr>
              <w:t>01/04/2026</w:t>
            </w:r>
          </w:p>
        </w:tc>
      </w:tr>
      <w:tr w:rsidR="00F05D38" w14:paraId="0BE7611D" w14:textId="77777777" w:rsidTr="0092229F">
        <w:tc>
          <w:tcPr>
            <w:tcW w:w="562" w:type="dxa"/>
          </w:tcPr>
          <w:p w14:paraId="50A9A068" w14:textId="5F0A37F0" w:rsidR="00EC4DFA" w:rsidRPr="007107C8" w:rsidRDefault="007107C8" w:rsidP="00EC4DFA">
            <w:pPr>
              <w:rPr>
                <w:sz w:val="22"/>
                <w:szCs w:val="22"/>
              </w:rPr>
            </w:pPr>
            <w:r w:rsidRPr="007107C8">
              <w:rPr>
                <w:sz w:val="22"/>
                <w:szCs w:val="22"/>
              </w:rPr>
              <w:t>4</w:t>
            </w:r>
          </w:p>
        </w:tc>
        <w:tc>
          <w:tcPr>
            <w:tcW w:w="3096" w:type="dxa"/>
          </w:tcPr>
          <w:p w14:paraId="167BA74D" w14:textId="7D610E1C" w:rsidR="00EC4DFA" w:rsidRPr="007107C8" w:rsidRDefault="007107C8" w:rsidP="00EC4DFA">
            <w:pPr>
              <w:rPr>
                <w:sz w:val="22"/>
                <w:szCs w:val="22"/>
              </w:rPr>
            </w:pPr>
            <w:r w:rsidRPr="007107C8">
              <w:rPr>
                <w:sz w:val="22"/>
                <w:szCs w:val="22"/>
              </w:rPr>
              <w:t>To monitor performance in satisfaction measures of our new repairs and maintenance procedures</w:t>
            </w:r>
          </w:p>
        </w:tc>
        <w:tc>
          <w:tcPr>
            <w:tcW w:w="1327" w:type="dxa"/>
          </w:tcPr>
          <w:p w14:paraId="20CDEF92" w14:textId="02018C60" w:rsidR="00EC4DFA" w:rsidRPr="007107C8" w:rsidRDefault="00EE1B1A" w:rsidP="00EC4DFA">
            <w:pPr>
              <w:rPr>
                <w:sz w:val="22"/>
                <w:szCs w:val="22"/>
              </w:rPr>
            </w:pPr>
            <w:r>
              <w:rPr>
                <w:sz w:val="22"/>
                <w:szCs w:val="22"/>
              </w:rPr>
              <w:t>Improvement Manager and Complaints Officer</w:t>
            </w:r>
          </w:p>
        </w:tc>
        <w:tc>
          <w:tcPr>
            <w:tcW w:w="2665" w:type="dxa"/>
          </w:tcPr>
          <w:p w14:paraId="176C692B" w14:textId="5F7F3E95" w:rsidR="00EC4DFA" w:rsidRPr="007107C8" w:rsidRDefault="007107C8" w:rsidP="00EC4DFA">
            <w:pPr>
              <w:rPr>
                <w:sz w:val="22"/>
                <w:szCs w:val="22"/>
              </w:rPr>
            </w:pPr>
            <w:r w:rsidRPr="007107C8">
              <w:rPr>
                <w:sz w:val="22"/>
                <w:szCs w:val="22"/>
              </w:rPr>
              <w:t>To gather feedback concerning repairs. Included within Site Checklists for Housing Officers to ask on visit.</w:t>
            </w:r>
          </w:p>
        </w:tc>
        <w:tc>
          <w:tcPr>
            <w:tcW w:w="1366" w:type="dxa"/>
          </w:tcPr>
          <w:p w14:paraId="350B41C8" w14:textId="7537E1D7" w:rsidR="00EC4DFA" w:rsidRPr="007107C8" w:rsidRDefault="007107C8" w:rsidP="00EC4DFA">
            <w:pPr>
              <w:rPr>
                <w:sz w:val="22"/>
                <w:szCs w:val="22"/>
              </w:rPr>
            </w:pPr>
            <w:r w:rsidRPr="007107C8">
              <w:rPr>
                <w:sz w:val="22"/>
                <w:szCs w:val="22"/>
              </w:rPr>
              <w:t>01/04/2026</w:t>
            </w:r>
          </w:p>
        </w:tc>
      </w:tr>
      <w:tr w:rsidR="00F05D38" w14:paraId="34E1764A" w14:textId="77777777" w:rsidTr="0092229F">
        <w:tc>
          <w:tcPr>
            <w:tcW w:w="562" w:type="dxa"/>
          </w:tcPr>
          <w:p w14:paraId="468545A4" w14:textId="62B42FE3" w:rsidR="00EC4DFA" w:rsidRPr="007107C8" w:rsidRDefault="007107C8" w:rsidP="00EC4DFA">
            <w:pPr>
              <w:rPr>
                <w:sz w:val="22"/>
                <w:szCs w:val="22"/>
              </w:rPr>
            </w:pPr>
            <w:r>
              <w:rPr>
                <w:sz w:val="22"/>
                <w:szCs w:val="22"/>
              </w:rPr>
              <w:t>5</w:t>
            </w:r>
          </w:p>
        </w:tc>
        <w:tc>
          <w:tcPr>
            <w:tcW w:w="3096" w:type="dxa"/>
          </w:tcPr>
          <w:p w14:paraId="01CD6F96" w14:textId="71803AC2" w:rsidR="00EC4DFA" w:rsidRPr="007107C8" w:rsidRDefault="007107C8" w:rsidP="00EC4DFA">
            <w:pPr>
              <w:rPr>
                <w:sz w:val="22"/>
                <w:szCs w:val="22"/>
              </w:rPr>
            </w:pPr>
            <w:r>
              <w:rPr>
                <w:sz w:val="22"/>
                <w:szCs w:val="22"/>
              </w:rPr>
              <w:t>Consideration</w:t>
            </w:r>
            <w:r w:rsidRPr="007107C8">
              <w:rPr>
                <w:sz w:val="22"/>
                <w:szCs w:val="22"/>
              </w:rPr>
              <w:t xml:space="preserve"> needs to be given to </w:t>
            </w:r>
            <w:r>
              <w:rPr>
                <w:sz w:val="22"/>
                <w:szCs w:val="22"/>
              </w:rPr>
              <w:t>delivering</w:t>
            </w:r>
            <w:r w:rsidRPr="007107C8">
              <w:rPr>
                <w:sz w:val="22"/>
                <w:szCs w:val="22"/>
              </w:rPr>
              <w:t xml:space="preserve"> independent translators in some circumstances, such as complaints.</w:t>
            </w:r>
          </w:p>
        </w:tc>
        <w:tc>
          <w:tcPr>
            <w:tcW w:w="1327" w:type="dxa"/>
          </w:tcPr>
          <w:p w14:paraId="413E7A26" w14:textId="2C7AC66F" w:rsidR="00EC4DFA" w:rsidRPr="007107C8" w:rsidRDefault="007107C8" w:rsidP="00EC4DFA">
            <w:pPr>
              <w:rPr>
                <w:sz w:val="22"/>
                <w:szCs w:val="22"/>
              </w:rPr>
            </w:pPr>
            <w:r>
              <w:rPr>
                <w:sz w:val="22"/>
                <w:szCs w:val="22"/>
              </w:rPr>
              <w:t>Complaints Officer</w:t>
            </w:r>
          </w:p>
        </w:tc>
        <w:tc>
          <w:tcPr>
            <w:tcW w:w="2665" w:type="dxa"/>
          </w:tcPr>
          <w:p w14:paraId="0223D485" w14:textId="28420AFA" w:rsidR="00546DA9" w:rsidRDefault="00546DA9" w:rsidP="007107C8">
            <w:pPr>
              <w:rPr>
                <w:rFonts w:ascii="Aptos" w:hAnsi="Aptos"/>
                <w:color w:val="000000"/>
                <w:sz w:val="22"/>
                <w:szCs w:val="22"/>
              </w:rPr>
            </w:pPr>
            <w:r>
              <w:rPr>
                <w:rFonts w:ascii="Aptos" w:hAnsi="Aptos"/>
                <w:color w:val="000000"/>
                <w:sz w:val="22"/>
                <w:szCs w:val="22"/>
              </w:rPr>
              <w:t xml:space="preserve">Establishing and gaining access to a translation service for complainants who require communication to be </w:t>
            </w:r>
            <w:r>
              <w:rPr>
                <w:rFonts w:ascii="Aptos" w:hAnsi="Aptos"/>
                <w:color w:val="000000"/>
                <w:sz w:val="22"/>
                <w:szCs w:val="22"/>
              </w:rPr>
              <w:lastRenderedPageBreak/>
              <w:t xml:space="preserve">offered in other languages. </w:t>
            </w:r>
          </w:p>
          <w:p w14:paraId="14E0E78A" w14:textId="77777777" w:rsidR="00EC4DFA" w:rsidRPr="007107C8" w:rsidRDefault="00EC4DFA" w:rsidP="00EC4DFA">
            <w:pPr>
              <w:rPr>
                <w:sz w:val="22"/>
                <w:szCs w:val="22"/>
              </w:rPr>
            </w:pPr>
          </w:p>
        </w:tc>
        <w:tc>
          <w:tcPr>
            <w:tcW w:w="1366" w:type="dxa"/>
          </w:tcPr>
          <w:p w14:paraId="131F5A8C" w14:textId="1A844717" w:rsidR="00EC4DFA" w:rsidRPr="007107C8" w:rsidRDefault="007107C8" w:rsidP="00EC4DFA">
            <w:pPr>
              <w:rPr>
                <w:sz w:val="22"/>
                <w:szCs w:val="22"/>
              </w:rPr>
            </w:pPr>
            <w:r>
              <w:rPr>
                <w:sz w:val="22"/>
                <w:szCs w:val="22"/>
              </w:rPr>
              <w:lastRenderedPageBreak/>
              <w:t>01/12/2025</w:t>
            </w:r>
          </w:p>
        </w:tc>
      </w:tr>
      <w:tr w:rsidR="00F05D38" w14:paraId="2D155977" w14:textId="77777777" w:rsidTr="0092229F">
        <w:tc>
          <w:tcPr>
            <w:tcW w:w="562" w:type="dxa"/>
          </w:tcPr>
          <w:p w14:paraId="304F1D8C" w14:textId="70EA9E91" w:rsidR="007107C8" w:rsidRDefault="007107C8" w:rsidP="00EC4DFA">
            <w:pPr>
              <w:rPr>
                <w:sz w:val="22"/>
                <w:szCs w:val="22"/>
              </w:rPr>
            </w:pPr>
            <w:r>
              <w:rPr>
                <w:sz w:val="22"/>
                <w:szCs w:val="22"/>
              </w:rPr>
              <w:t>6</w:t>
            </w:r>
          </w:p>
        </w:tc>
        <w:tc>
          <w:tcPr>
            <w:tcW w:w="3096" w:type="dxa"/>
          </w:tcPr>
          <w:p w14:paraId="5C52D60D" w14:textId="77777777" w:rsidR="007107C8" w:rsidRDefault="007107C8" w:rsidP="007107C8">
            <w:pPr>
              <w:rPr>
                <w:rFonts w:ascii="Aptos" w:hAnsi="Aptos"/>
                <w:color w:val="000000"/>
                <w:sz w:val="22"/>
                <w:szCs w:val="22"/>
              </w:rPr>
            </w:pPr>
            <w:r>
              <w:rPr>
                <w:rFonts w:ascii="Aptos" w:hAnsi="Aptos"/>
                <w:color w:val="000000"/>
                <w:sz w:val="22"/>
                <w:szCs w:val="22"/>
              </w:rPr>
              <w:t>Information for residents: The current Easy Read Booklet for Shorthold Tenancy Agreements summarises the definition of a complaint, that AHS will listen and deal with any complaints and if a resident is unhappy, they will be informed about how to complain. Arrangements for handling dissatisfaction have been publicised via the residents’ newsletter.</w:t>
            </w:r>
          </w:p>
          <w:p w14:paraId="662D60B2" w14:textId="77777777" w:rsidR="007107C8" w:rsidRDefault="007107C8" w:rsidP="00EC4DFA">
            <w:pPr>
              <w:rPr>
                <w:sz w:val="22"/>
                <w:szCs w:val="22"/>
              </w:rPr>
            </w:pPr>
          </w:p>
        </w:tc>
        <w:tc>
          <w:tcPr>
            <w:tcW w:w="1327" w:type="dxa"/>
          </w:tcPr>
          <w:p w14:paraId="75E36886" w14:textId="5B4A749F" w:rsidR="007107C8" w:rsidRDefault="007107C8" w:rsidP="00EC4DFA">
            <w:pPr>
              <w:rPr>
                <w:sz w:val="22"/>
                <w:szCs w:val="22"/>
              </w:rPr>
            </w:pPr>
            <w:r>
              <w:rPr>
                <w:sz w:val="22"/>
                <w:szCs w:val="22"/>
              </w:rPr>
              <w:t>Complaints Officer</w:t>
            </w:r>
          </w:p>
        </w:tc>
        <w:tc>
          <w:tcPr>
            <w:tcW w:w="2665" w:type="dxa"/>
          </w:tcPr>
          <w:p w14:paraId="302DD10B" w14:textId="3464A54B" w:rsidR="007107C8" w:rsidRDefault="007107C8" w:rsidP="007107C8">
            <w:pPr>
              <w:rPr>
                <w:rFonts w:ascii="Aptos" w:hAnsi="Aptos"/>
                <w:color w:val="000000"/>
                <w:sz w:val="22"/>
                <w:szCs w:val="22"/>
              </w:rPr>
            </w:pPr>
            <w:r>
              <w:rPr>
                <w:rFonts w:ascii="Aptos" w:hAnsi="Aptos"/>
                <w:color w:val="000000"/>
                <w:sz w:val="22"/>
                <w:szCs w:val="22"/>
              </w:rPr>
              <w:t>To update the Easy-Read Booklet</w:t>
            </w:r>
          </w:p>
        </w:tc>
        <w:tc>
          <w:tcPr>
            <w:tcW w:w="1366" w:type="dxa"/>
          </w:tcPr>
          <w:p w14:paraId="68B97048" w14:textId="007D4388" w:rsidR="007107C8" w:rsidRDefault="007107C8" w:rsidP="00EC4DFA">
            <w:pPr>
              <w:rPr>
                <w:sz w:val="22"/>
                <w:szCs w:val="22"/>
              </w:rPr>
            </w:pPr>
            <w:r>
              <w:rPr>
                <w:sz w:val="22"/>
                <w:szCs w:val="22"/>
              </w:rPr>
              <w:t>31/10/2025</w:t>
            </w:r>
          </w:p>
        </w:tc>
      </w:tr>
      <w:tr w:rsidR="00F05D38" w14:paraId="5FB2BADA" w14:textId="77777777" w:rsidTr="0092229F">
        <w:tc>
          <w:tcPr>
            <w:tcW w:w="562" w:type="dxa"/>
          </w:tcPr>
          <w:p w14:paraId="42FF9225" w14:textId="3708B5F2" w:rsidR="0080028D" w:rsidRDefault="0013178B" w:rsidP="00EC4DFA">
            <w:pPr>
              <w:rPr>
                <w:sz w:val="22"/>
                <w:szCs w:val="22"/>
              </w:rPr>
            </w:pPr>
            <w:r>
              <w:rPr>
                <w:sz w:val="22"/>
                <w:szCs w:val="22"/>
              </w:rPr>
              <w:t>7</w:t>
            </w:r>
          </w:p>
        </w:tc>
        <w:tc>
          <w:tcPr>
            <w:tcW w:w="3096" w:type="dxa"/>
          </w:tcPr>
          <w:p w14:paraId="61966D1B" w14:textId="7FBDB050" w:rsidR="0080028D" w:rsidRDefault="0013178B" w:rsidP="007107C8">
            <w:pPr>
              <w:rPr>
                <w:rFonts w:ascii="Aptos" w:hAnsi="Aptos"/>
                <w:color w:val="000000"/>
                <w:sz w:val="22"/>
                <w:szCs w:val="22"/>
              </w:rPr>
            </w:pPr>
            <w:r w:rsidRPr="0013178B">
              <w:rPr>
                <w:rFonts w:ascii="Aptos" w:hAnsi="Aptos"/>
                <w:color w:val="000000"/>
                <w:sz w:val="22"/>
                <w:szCs w:val="22"/>
              </w:rPr>
              <w:t>A positive complaint handling culture is integral to the effectiveness with which landlords resolve disputes. Landlords must use complaints as a source of intelligence to identify issues and introduce positive changes in service delivery</w:t>
            </w:r>
          </w:p>
        </w:tc>
        <w:tc>
          <w:tcPr>
            <w:tcW w:w="1327" w:type="dxa"/>
          </w:tcPr>
          <w:p w14:paraId="59187766" w14:textId="77777777" w:rsidR="0080028D" w:rsidRDefault="0080028D" w:rsidP="00EC4DFA">
            <w:pPr>
              <w:rPr>
                <w:sz w:val="22"/>
                <w:szCs w:val="22"/>
              </w:rPr>
            </w:pPr>
          </w:p>
          <w:p w14:paraId="62E49294" w14:textId="502440CC" w:rsidR="0092229F" w:rsidRDefault="00EE1B1A" w:rsidP="00EC4DFA">
            <w:pPr>
              <w:rPr>
                <w:sz w:val="22"/>
                <w:szCs w:val="22"/>
              </w:rPr>
            </w:pPr>
            <w:r>
              <w:rPr>
                <w:sz w:val="22"/>
                <w:szCs w:val="22"/>
              </w:rPr>
              <w:t xml:space="preserve">Improvement Manager &amp; </w:t>
            </w:r>
            <w:r w:rsidR="0092229F" w:rsidRPr="00BB1BE6">
              <w:rPr>
                <w:sz w:val="22"/>
                <w:szCs w:val="22"/>
              </w:rPr>
              <w:t>Complaints Officer to oversee</w:t>
            </w:r>
          </w:p>
        </w:tc>
        <w:tc>
          <w:tcPr>
            <w:tcW w:w="2665" w:type="dxa"/>
          </w:tcPr>
          <w:p w14:paraId="75D81593" w14:textId="02D19569" w:rsidR="0080028D" w:rsidRPr="00546DA9" w:rsidRDefault="0013178B" w:rsidP="007107C8">
            <w:pPr>
              <w:rPr>
                <w:rFonts w:ascii="Aptos" w:hAnsi="Aptos"/>
                <w:sz w:val="22"/>
                <w:szCs w:val="22"/>
              </w:rPr>
            </w:pPr>
            <w:r w:rsidRPr="00546DA9">
              <w:rPr>
                <w:rFonts w:ascii="Aptos" w:hAnsi="Aptos"/>
                <w:sz w:val="22"/>
                <w:szCs w:val="22"/>
              </w:rPr>
              <w:t xml:space="preserve">All staff to attend Housing Ombudsman e learning: Complaint Handling Code, Dispute Resolution, </w:t>
            </w:r>
            <w:r w:rsidR="00EE1B1A" w:rsidRPr="00546DA9">
              <w:rPr>
                <w:rFonts w:ascii="Aptos" w:hAnsi="Aptos"/>
                <w:sz w:val="22"/>
                <w:szCs w:val="22"/>
              </w:rPr>
              <w:t xml:space="preserve">and </w:t>
            </w:r>
            <w:r w:rsidRPr="00546DA9">
              <w:rPr>
                <w:rFonts w:ascii="Aptos" w:hAnsi="Aptos"/>
                <w:sz w:val="22"/>
                <w:szCs w:val="22"/>
              </w:rPr>
              <w:t xml:space="preserve">Applying Dispute Resolution. </w:t>
            </w:r>
            <w:r w:rsidR="00F05D38" w:rsidRPr="00546DA9">
              <w:rPr>
                <w:rFonts w:ascii="Aptos" w:hAnsi="Aptos"/>
                <w:sz w:val="22"/>
                <w:szCs w:val="22"/>
              </w:rPr>
              <w:t xml:space="preserve">Feedback from complaints and lessons learned </w:t>
            </w:r>
            <w:r w:rsidRPr="00546DA9">
              <w:rPr>
                <w:rFonts w:ascii="Aptos" w:hAnsi="Aptos"/>
                <w:sz w:val="22"/>
                <w:szCs w:val="22"/>
              </w:rPr>
              <w:t>to be shared with all staff.</w:t>
            </w:r>
            <w:r w:rsidR="0092229F" w:rsidRPr="00546DA9">
              <w:rPr>
                <w:rFonts w:ascii="Aptos" w:hAnsi="Aptos"/>
                <w:sz w:val="22"/>
                <w:szCs w:val="22"/>
              </w:rPr>
              <w:t xml:space="preserve"> Develop </w:t>
            </w:r>
            <w:r w:rsidR="00EE1B1A" w:rsidRPr="00546DA9">
              <w:rPr>
                <w:rFonts w:ascii="Aptos" w:hAnsi="Aptos"/>
                <w:sz w:val="22"/>
                <w:szCs w:val="22"/>
              </w:rPr>
              <w:t>in-house</w:t>
            </w:r>
            <w:r w:rsidR="0092229F" w:rsidRPr="00546DA9">
              <w:rPr>
                <w:rFonts w:ascii="Aptos" w:hAnsi="Aptos"/>
                <w:sz w:val="22"/>
                <w:szCs w:val="22"/>
              </w:rPr>
              <w:t xml:space="preserve"> training and support for staff managing complaints</w:t>
            </w:r>
          </w:p>
        </w:tc>
        <w:tc>
          <w:tcPr>
            <w:tcW w:w="1366" w:type="dxa"/>
          </w:tcPr>
          <w:p w14:paraId="7F529BDB" w14:textId="77777777" w:rsidR="0080028D" w:rsidRPr="00546DA9" w:rsidRDefault="0080028D" w:rsidP="00EC4DFA">
            <w:pPr>
              <w:rPr>
                <w:sz w:val="22"/>
                <w:szCs w:val="22"/>
              </w:rPr>
            </w:pPr>
          </w:p>
          <w:p w14:paraId="5FA15BDC" w14:textId="77777777" w:rsidR="0013178B" w:rsidRPr="00546DA9" w:rsidRDefault="0013178B" w:rsidP="00EC4DFA">
            <w:pPr>
              <w:rPr>
                <w:sz w:val="22"/>
                <w:szCs w:val="22"/>
              </w:rPr>
            </w:pPr>
          </w:p>
          <w:p w14:paraId="7DC0921F" w14:textId="44BC0D22" w:rsidR="0013178B" w:rsidRPr="00546DA9" w:rsidRDefault="0013178B" w:rsidP="00EC4DFA">
            <w:pPr>
              <w:rPr>
                <w:sz w:val="22"/>
                <w:szCs w:val="22"/>
              </w:rPr>
            </w:pPr>
            <w:r w:rsidRPr="00546DA9">
              <w:rPr>
                <w:sz w:val="22"/>
                <w:szCs w:val="22"/>
              </w:rPr>
              <w:t>Ongoing following quarterly meetings with MRC</w:t>
            </w:r>
          </w:p>
        </w:tc>
      </w:tr>
      <w:tr w:rsidR="00F05D38" w14:paraId="45B8CC46" w14:textId="77777777" w:rsidTr="0092229F">
        <w:tc>
          <w:tcPr>
            <w:tcW w:w="562" w:type="dxa"/>
          </w:tcPr>
          <w:p w14:paraId="595E770A" w14:textId="6438CC05" w:rsidR="0080028D" w:rsidRDefault="0013178B" w:rsidP="00EC4DFA">
            <w:pPr>
              <w:rPr>
                <w:sz w:val="22"/>
                <w:szCs w:val="22"/>
              </w:rPr>
            </w:pPr>
            <w:r>
              <w:rPr>
                <w:sz w:val="22"/>
                <w:szCs w:val="22"/>
              </w:rPr>
              <w:t>8</w:t>
            </w:r>
          </w:p>
        </w:tc>
        <w:tc>
          <w:tcPr>
            <w:tcW w:w="3096" w:type="dxa"/>
          </w:tcPr>
          <w:p w14:paraId="1809B00C" w14:textId="3730AA73" w:rsidR="0080028D" w:rsidRDefault="0013178B" w:rsidP="007107C8">
            <w:pPr>
              <w:rPr>
                <w:rFonts w:ascii="Aptos" w:hAnsi="Aptos"/>
                <w:color w:val="000000"/>
                <w:sz w:val="22"/>
                <w:szCs w:val="22"/>
              </w:rPr>
            </w:pPr>
            <w:r w:rsidRPr="0013178B">
              <w:rPr>
                <w:rFonts w:ascii="Aptos" w:hAnsi="Aptos"/>
                <w:color w:val="000000"/>
                <w:sz w:val="22"/>
                <w:szCs w:val="22"/>
              </w:rPr>
              <w:t xml:space="preserve">As a minimum, the MRC and the governing body (or equivalent) must receive: A. Regular updates on the volume, categories and outcomes of complaints alongside complaint handling performance, B. regular reviews of issues and trends arising from complaint handling, C. regular updates on the outcomes of the Ombudsman’s investigations and progress made in complying with orders related to severe maladministration findings, and D. annual complaints performance and service improvement report </w:t>
            </w:r>
          </w:p>
        </w:tc>
        <w:tc>
          <w:tcPr>
            <w:tcW w:w="1327" w:type="dxa"/>
          </w:tcPr>
          <w:p w14:paraId="382DE177" w14:textId="77777777" w:rsidR="0092229F" w:rsidRDefault="0092229F" w:rsidP="00EC4DFA">
            <w:pPr>
              <w:rPr>
                <w:sz w:val="22"/>
                <w:szCs w:val="22"/>
              </w:rPr>
            </w:pPr>
          </w:p>
          <w:p w14:paraId="5A46673F" w14:textId="77777777" w:rsidR="0092229F" w:rsidRDefault="0092229F" w:rsidP="00EC4DFA">
            <w:pPr>
              <w:rPr>
                <w:sz w:val="22"/>
                <w:szCs w:val="22"/>
              </w:rPr>
            </w:pPr>
          </w:p>
          <w:p w14:paraId="75D18F44" w14:textId="77777777" w:rsidR="0092229F" w:rsidRDefault="0092229F" w:rsidP="00EC4DFA">
            <w:pPr>
              <w:rPr>
                <w:sz w:val="22"/>
                <w:szCs w:val="22"/>
              </w:rPr>
            </w:pPr>
          </w:p>
          <w:p w14:paraId="46B38809" w14:textId="59F3B773" w:rsidR="0080028D" w:rsidRDefault="0092229F" w:rsidP="00EC4DFA">
            <w:pPr>
              <w:rPr>
                <w:sz w:val="22"/>
                <w:szCs w:val="22"/>
              </w:rPr>
            </w:pPr>
            <w:r>
              <w:rPr>
                <w:sz w:val="22"/>
                <w:szCs w:val="22"/>
              </w:rPr>
              <w:t>Complaints Officer</w:t>
            </w:r>
          </w:p>
        </w:tc>
        <w:tc>
          <w:tcPr>
            <w:tcW w:w="2665" w:type="dxa"/>
          </w:tcPr>
          <w:p w14:paraId="7076ACA4" w14:textId="0B41DF6F" w:rsidR="0080028D" w:rsidRPr="00BB1BE6" w:rsidRDefault="0092229F" w:rsidP="007107C8">
            <w:pPr>
              <w:rPr>
                <w:rFonts w:ascii="Aptos" w:hAnsi="Aptos"/>
                <w:color w:val="000000"/>
                <w:sz w:val="22"/>
                <w:szCs w:val="22"/>
              </w:rPr>
            </w:pPr>
            <w:r w:rsidRPr="00BB1BE6">
              <w:rPr>
                <w:rFonts w:ascii="Aptos" w:hAnsi="Aptos"/>
                <w:color w:val="000000"/>
                <w:sz w:val="22"/>
                <w:szCs w:val="22"/>
              </w:rPr>
              <w:t>P</w:t>
            </w:r>
            <w:r w:rsidR="0013178B" w:rsidRPr="00BB1BE6">
              <w:rPr>
                <w:rFonts w:ascii="Aptos" w:hAnsi="Aptos"/>
                <w:color w:val="000000"/>
                <w:sz w:val="22"/>
                <w:szCs w:val="22"/>
              </w:rPr>
              <w:t xml:space="preserve">roduce a quarterly report </w:t>
            </w:r>
            <w:r w:rsidRPr="00BB1BE6">
              <w:rPr>
                <w:rFonts w:ascii="Aptos" w:hAnsi="Aptos"/>
                <w:color w:val="000000"/>
                <w:sz w:val="22"/>
                <w:szCs w:val="22"/>
              </w:rPr>
              <w:t>for</w:t>
            </w:r>
            <w:r w:rsidR="0013178B" w:rsidRPr="00BB1BE6">
              <w:rPr>
                <w:rFonts w:ascii="Aptos" w:hAnsi="Aptos"/>
                <w:color w:val="000000"/>
                <w:sz w:val="22"/>
                <w:szCs w:val="22"/>
              </w:rPr>
              <w:t xml:space="preserve"> MRC covering points A-D in advance of the MRC meeting, with the Complaints Officer and outcomes reported to the Board for review. </w:t>
            </w:r>
          </w:p>
        </w:tc>
        <w:tc>
          <w:tcPr>
            <w:tcW w:w="1366" w:type="dxa"/>
          </w:tcPr>
          <w:p w14:paraId="52690F5A" w14:textId="5E268688" w:rsidR="0080028D" w:rsidRDefault="0013178B" w:rsidP="00EC4DFA">
            <w:pPr>
              <w:rPr>
                <w:sz w:val="22"/>
                <w:szCs w:val="22"/>
              </w:rPr>
            </w:pPr>
            <w:r>
              <w:rPr>
                <w:sz w:val="22"/>
                <w:szCs w:val="22"/>
              </w:rPr>
              <w:t xml:space="preserve">Quarterly reports to be resumed and completed </w:t>
            </w:r>
            <w:r w:rsidR="00BB1BE6">
              <w:rPr>
                <w:sz w:val="22"/>
                <w:szCs w:val="22"/>
              </w:rPr>
              <w:t>30/01/2026</w:t>
            </w:r>
          </w:p>
          <w:p w14:paraId="529BD7B7" w14:textId="77777777" w:rsidR="0013178B" w:rsidRDefault="0013178B" w:rsidP="00EC4DFA">
            <w:pPr>
              <w:rPr>
                <w:sz w:val="22"/>
                <w:szCs w:val="22"/>
              </w:rPr>
            </w:pPr>
          </w:p>
          <w:p w14:paraId="13C9F496" w14:textId="6F8F6B77" w:rsidR="0013178B" w:rsidRDefault="0013178B" w:rsidP="00EC4DFA">
            <w:pPr>
              <w:rPr>
                <w:sz w:val="22"/>
                <w:szCs w:val="22"/>
              </w:rPr>
            </w:pPr>
            <w:r>
              <w:rPr>
                <w:sz w:val="22"/>
                <w:szCs w:val="22"/>
              </w:rPr>
              <w:t>Quarterly Report deadlines are then to be booked thereafter</w:t>
            </w:r>
          </w:p>
        </w:tc>
      </w:tr>
      <w:tr w:rsidR="00F05D38" w14:paraId="642962CD" w14:textId="77777777" w:rsidTr="0092229F">
        <w:tc>
          <w:tcPr>
            <w:tcW w:w="562" w:type="dxa"/>
          </w:tcPr>
          <w:p w14:paraId="2CB26C86" w14:textId="22C02D23" w:rsidR="00EE1B1A" w:rsidRDefault="00EE1B1A" w:rsidP="00EC4DFA">
            <w:pPr>
              <w:rPr>
                <w:sz w:val="22"/>
                <w:szCs w:val="22"/>
              </w:rPr>
            </w:pPr>
            <w:r>
              <w:rPr>
                <w:sz w:val="22"/>
                <w:szCs w:val="22"/>
              </w:rPr>
              <w:lastRenderedPageBreak/>
              <w:t>9</w:t>
            </w:r>
          </w:p>
        </w:tc>
        <w:tc>
          <w:tcPr>
            <w:tcW w:w="3096" w:type="dxa"/>
          </w:tcPr>
          <w:p w14:paraId="53FA164A" w14:textId="0E11FD7B" w:rsidR="00EE1B1A" w:rsidRPr="0013178B" w:rsidRDefault="00EE1B1A" w:rsidP="007107C8">
            <w:pPr>
              <w:rPr>
                <w:rFonts w:ascii="Aptos" w:hAnsi="Aptos"/>
                <w:color w:val="000000"/>
                <w:sz w:val="22"/>
                <w:szCs w:val="22"/>
              </w:rPr>
            </w:pPr>
            <w:r w:rsidRPr="00F173F4">
              <w:rPr>
                <w:rStyle w:val="normaltextrun"/>
                <w:color w:val="000000"/>
                <w:sz w:val="22"/>
                <w:szCs w:val="22"/>
                <w:shd w:val="clear" w:color="auto" w:fill="FFFFFF"/>
              </w:rPr>
              <w:t>Landlords must make reasonable adjustments for residents where appropriate under the Equality Act 2010. Landlords must keep a record of any reasonable adjustments agreed</w:t>
            </w:r>
            <w:r>
              <w:rPr>
                <w:rStyle w:val="normaltextrun"/>
                <w:color w:val="000000"/>
                <w:sz w:val="22"/>
                <w:szCs w:val="22"/>
                <w:shd w:val="clear" w:color="auto" w:fill="FFFFFF"/>
              </w:rPr>
              <w:t xml:space="preserve"> upon</w:t>
            </w:r>
            <w:r w:rsidRPr="00F173F4">
              <w:rPr>
                <w:rStyle w:val="normaltextrun"/>
                <w:color w:val="000000"/>
                <w:sz w:val="22"/>
                <w:szCs w:val="22"/>
                <w:shd w:val="clear" w:color="auto" w:fill="FFFFFF"/>
              </w:rPr>
              <w:t>, as well as a record of any disabilities a resident has disclosed. Any agreed reasonable adjustments must be kept under active review. </w:t>
            </w:r>
            <w:r w:rsidRPr="00F173F4">
              <w:rPr>
                <w:rStyle w:val="eop"/>
                <w:color w:val="000000"/>
                <w:sz w:val="22"/>
                <w:szCs w:val="22"/>
                <w:shd w:val="clear" w:color="auto" w:fill="FFFFFF"/>
              </w:rPr>
              <w:t> </w:t>
            </w:r>
          </w:p>
        </w:tc>
        <w:tc>
          <w:tcPr>
            <w:tcW w:w="1327" w:type="dxa"/>
          </w:tcPr>
          <w:p w14:paraId="6190E0EE" w14:textId="77777777" w:rsidR="00EE1B1A" w:rsidRDefault="00EE1B1A" w:rsidP="00EC4DFA">
            <w:pPr>
              <w:rPr>
                <w:sz w:val="22"/>
                <w:szCs w:val="22"/>
              </w:rPr>
            </w:pPr>
          </w:p>
          <w:p w14:paraId="3C35E4E8" w14:textId="2D36968A" w:rsidR="00EE1B1A" w:rsidRDefault="00EE1B1A" w:rsidP="00EC4DFA">
            <w:pPr>
              <w:rPr>
                <w:sz w:val="22"/>
                <w:szCs w:val="22"/>
              </w:rPr>
            </w:pPr>
            <w:r>
              <w:rPr>
                <w:sz w:val="22"/>
                <w:szCs w:val="22"/>
              </w:rPr>
              <w:t>Improvement Manager</w:t>
            </w:r>
          </w:p>
        </w:tc>
        <w:tc>
          <w:tcPr>
            <w:tcW w:w="2665" w:type="dxa"/>
          </w:tcPr>
          <w:p w14:paraId="7A9B71D1" w14:textId="0DF60D6B" w:rsidR="00EE1B1A" w:rsidRPr="00BB1BE6" w:rsidRDefault="00EE1B1A" w:rsidP="007107C8">
            <w:pPr>
              <w:rPr>
                <w:rFonts w:ascii="Aptos" w:hAnsi="Aptos"/>
                <w:color w:val="000000"/>
                <w:sz w:val="22"/>
                <w:szCs w:val="22"/>
              </w:rPr>
            </w:pPr>
            <w:r>
              <w:rPr>
                <w:rFonts w:ascii="Aptos" w:hAnsi="Aptos"/>
                <w:color w:val="000000"/>
                <w:sz w:val="22"/>
                <w:szCs w:val="22"/>
              </w:rPr>
              <w:t>To complete the review of the Equality, Diversity and Inclusion Policy. To then be reviewed and approved by the Board</w:t>
            </w:r>
          </w:p>
        </w:tc>
        <w:tc>
          <w:tcPr>
            <w:tcW w:w="1366" w:type="dxa"/>
          </w:tcPr>
          <w:p w14:paraId="386A6174" w14:textId="53422F5F" w:rsidR="00EE1B1A" w:rsidRDefault="00EE1B1A" w:rsidP="00EC4DFA">
            <w:pPr>
              <w:rPr>
                <w:sz w:val="22"/>
                <w:szCs w:val="22"/>
              </w:rPr>
            </w:pPr>
            <w:r>
              <w:rPr>
                <w:sz w:val="22"/>
                <w:szCs w:val="22"/>
              </w:rPr>
              <w:t>31/01/2026</w:t>
            </w:r>
          </w:p>
        </w:tc>
      </w:tr>
    </w:tbl>
    <w:p w14:paraId="538D34E7" w14:textId="77777777" w:rsidR="00EC4DFA" w:rsidRPr="00EC4DFA" w:rsidRDefault="00EC4DFA" w:rsidP="00EC4DFA">
      <w:pPr>
        <w:rPr>
          <w:b/>
          <w:bCs/>
          <w:sz w:val="22"/>
          <w:szCs w:val="22"/>
        </w:rPr>
      </w:pPr>
    </w:p>
    <w:sectPr w:rsidR="00EC4DFA" w:rsidRPr="00EC4D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84C89"/>
    <w:multiLevelType w:val="hybridMultilevel"/>
    <w:tmpl w:val="D5A226CC"/>
    <w:lvl w:ilvl="0" w:tplc="78F03294">
      <w:start w:val="1"/>
      <w:numFmt w:val="decimal"/>
      <w:lvlText w:val="1.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3A68F9"/>
    <w:multiLevelType w:val="hybridMultilevel"/>
    <w:tmpl w:val="5552B8AC"/>
    <w:lvl w:ilvl="0" w:tplc="ECFC2942">
      <w:start w:val="9"/>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4B5714"/>
    <w:multiLevelType w:val="multilevel"/>
    <w:tmpl w:val="D4926B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B147C84"/>
    <w:multiLevelType w:val="multilevel"/>
    <w:tmpl w:val="D4926B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78371F3"/>
    <w:multiLevelType w:val="multilevel"/>
    <w:tmpl w:val="D4926B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F004489"/>
    <w:multiLevelType w:val="multilevel"/>
    <w:tmpl w:val="D4926B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84194854">
    <w:abstractNumId w:val="1"/>
  </w:num>
  <w:num w:numId="2" w16cid:durableId="128087599">
    <w:abstractNumId w:val="2"/>
  </w:num>
  <w:num w:numId="3" w16cid:durableId="1346857825">
    <w:abstractNumId w:val="0"/>
  </w:num>
  <w:num w:numId="4" w16cid:durableId="1553617453">
    <w:abstractNumId w:val="3"/>
  </w:num>
  <w:num w:numId="5" w16cid:durableId="1968706384">
    <w:abstractNumId w:val="5"/>
  </w:num>
  <w:num w:numId="6" w16cid:durableId="294528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EB0"/>
    <w:rsid w:val="00086848"/>
    <w:rsid w:val="0013178B"/>
    <w:rsid w:val="00221D4D"/>
    <w:rsid w:val="002A1EA7"/>
    <w:rsid w:val="002B65C0"/>
    <w:rsid w:val="003A224B"/>
    <w:rsid w:val="003E4986"/>
    <w:rsid w:val="00435B89"/>
    <w:rsid w:val="00546DA9"/>
    <w:rsid w:val="007107C8"/>
    <w:rsid w:val="007F3159"/>
    <w:rsid w:val="007F6D90"/>
    <w:rsid w:val="0080028D"/>
    <w:rsid w:val="008B69D3"/>
    <w:rsid w:val="0092229F"/>
    <w:rsid w:val="00971385"/>
    <w:rsid w:val="00A42BD8"/>
    <w:rsid w:val="00A673D9"/>
    <w:rsid w:val="00A76381"/>
    <w:rsid w:val="00B43AFF"/>
    <w:rsid w:val="00B67EB0"/>
    <w:rsid w:val="00B90A66"/>
    <w:rsid w:val="00BA01A0"/>
    <w:rsid w:val="00BB1BE6"/>
    <w:rsid w:val="00BB3F4F"/>
    <w:rsid w:val="00BB623D"/>
    <w:rsid w:val="00C04FCB"/>
    <w:rsid w:val="00C97479"/>
    <w:rsid w:val="00D050EB"/>
    <w:rsid w:val="00D41537"/>
    <w:rsid w:val="00D678B1"/>
    <w:rsid w:val="00DF3807"/>
    <w:rsid w:val="00EB7BB4"/>
    <w:rsid w:val="00EC4DFA"/>
    <w:rsid w:val="00EE1B1A"/>
    <w:rsid w:val="00F05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3E1F7"/>
  <w15:chartTrackingRefBased/>
  <w15:docId w15:val="{5CCCADBE-B4C0-4888-8F1B-D3ADE6D5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E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E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E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E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E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E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E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E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E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E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E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E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E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E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E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E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E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EB0"/>
    <w:rPr>
      <w:rFonts w:eastAsiaTheme="majorEastAsia" w:cstheme="majorBidi"/>
      <w:color w:val="272727" w:themeColor="text1" w:themeTint="D8"/>
    </w:rPr>
  </w:style>
  <w:style w:type="paragraph" w:styleId="Title">
    <w:name w:val="Title"/>
    <w:basedOn w:val="Normal"/>
    <w:next w:val="Normal"/>
    <w:link w:val="TitleChar"/>
    <w:uiPriority w:val="10"/>
    <w:qFormat/>
    <w:rsid w:val="00B67E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E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E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E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EB0"/>
    <w:pPr>
      <w:spacing w:before="160"/>
      <w:jc w:val="center"/>
    </w:pPr>
    <w:rPr>
      <w:i/>
      <w:iCs/>
      <w:color w:val="404040" w:themeColor="text1" w:themeTint="BF"/>
    </w:rPr>
  </w:style>
  <w:style w:type="character" w:customStyle="1" w:styleId="QuoteChar">
    <w:name w:val="Quote Char"/>
    <w:basedOn w:val="DefaultParagraphFont"/>
    <w:link w:val="Quote"/>
    <w:uiPriority w:val="29"/>
    <w:rsid w:val="00B67EB0"/>
    <w:rPr>
      <w:i/>
      <w:iCs/>
      <w:color w:val="404040" w:themeColor="text1" w:themeTint="BF"/>
    </w:rPr>
  </w:style>
  <w:style w:type="paragraph" w:styleId="ListParagraph">
    <w:name w:val="List Paragraph"/>
    <w:basedOn w:val="Normal"/>
    <w:uiPriority w:val="34"/>
    <w:qFormat/>
    <w:rsid w:val="00B67EB0"/>
    <w:pPr>
      <w:ind w:left="720"/>
      <w:contextualSpacing/>
    </w:pPr>
  </w:style>
  <w:style w:type="character" w:styleId="IntenseEmphasis">
    <w:name w:val="Intense Emphasis"/>
    <w:basedOn w:val="DefaultParagraphFont"/>
    <w:uiPriority w:val="21"/>
    <w:qFormat/>
    <w:rsid w:val="00B67EB0"/>
    <w:rPr>
      <w:i/>
      <w:iCs/>
      <w:color w:val="0F4761" w:themeColor="accent1" w:themeShade="BF"/>
    </w:rPr>
  </w:style>
  <w:style w:type="paragraph" w:styleId="IntenseQuote">
    <w:name w:val="Intense Quote"/>
    <w:basedOn w:val="Normal"/>
    <w:next w:val="Normal"/>
    <w:link w:val="IntenseQuoteChar"/>
    <w:uiPriority w:val="30"/>
    <w:qFormat/>
    <w:rsid w:val="00B67E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EB0"/>
    <w:rPr>
      <w:i/>
      <w:iCs/>
      <w:color w:val="0F4761" w:themeColor="accent1" w:themeShade="BF"/>
    </w:rPr>
  </w:style>
  <w:style w:type="character" w:styleId="IntenseReference">
    <w:name w:val="Intense Reference"/>
    <w:basedOn w:val="DefaultParagraphFont"/>
    <w:uiPriority w:val="32"/>
    <w:qFormat/>
    <w:rsid w:val="00B67EB0"/>
    <w:rPr>
      <w:b/>
      <w:bCs/>
      <w:smallCaps/>
      <w:color w:val="0F4761" w:themeColor="accent1" w:themeShade="BF"/>
      <w:spacing w:val="5"/>
    </w:rPr>
  </w:style>
  <w:style w:type="table" w:styleId="TableGrid">
    <w:name w:val="Table Grid"/>
    <w:basedOn w:val="TableNormal"/>
    <w:uiPriority w:val="39"/>
    <w:rsid w:val="00B67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E1B1A"/>
  </w:style>
  <w:style w:type="character" w:customStyle="1" w:styleId="eop">
    <w:name w:val="eop"/>
    <w:basedOn w:val="DefaultParagraphFont"/>
    <w:rsid w:val="00EE1B1A"/>
  </w:style>
  <w:style w:type="character" w:styleId="CommentReference">
    <w:name w:val="annotation reference"/>
    <w:basedOn w:val="DefaultParagraphFont"/>
    <w:uiPriority w:val="99"/>
    <w:semiHidden/>
    <w:unhideWhenUsed/>
    <w:rsid w:val="00BA01A0"/>
    <w:rPr>
      <w:sz w:val="16"/>
      <w:szCs w:val="16"/>
    </w:rPr>
  </w:style>
  <w:style w:type="paragraph" w:styleId="CommentText">
    <w:name w:val="annotation text"/>
    <w:basedOn w:val="Normal"/>
    <w:link w:val="CommentTextChar"/>
    <w:uiPriority w:val="99"/>
    <w:unhideWhenUsed/>
    <w:rsid w:val="00BA01A0"/>
    <w:pPr>
      <w:spacing w:line="240" w:lineRule="auto"/>
    </w:pPr>
    <w:rPr>
      <w:sz w:val="20"/>
      <w:szCs w:val="20"/>
    </w:rPr>
  </w:style>
  <w:style w:type="character" w:customStyle="1" w:styleId="CommentTextChar">
    <w:name w:val="Comment Text Char"/>
    <w:basedOn w:val="DefaultParagraphFont"/>
    <w:link w:val="CommentText"/>
    <w:uiPriority w:val="99"/>
    <w:rsid w:val="00BA01A0"/>
    <w:rPr>
      <w:sz w:val="20"/>
      <w:szCs w:val="20"/>
    </w:rPr>
  </w:style>
  <w:style w:type="paragraph" w:styleId="CommentSubject">
    <w:name w:val="annotation subject"/>
    <w:basedOn w:val="CommentText"/>
    <w:next w:val="CommentText"/>
    <w:link w:val="CommentSubjectChar"/>
    <w:uiPriority w:val="99"/>
    <w:semiHidden/>
    <w:unhideWhenUsed/>
    <w:rsid w:val="00BA01A0"/>
    <w:rPr>
      <w:b/>
      <w:bCs/>
    </w:rPr>
  </w:style>
  <w:style w:type="character" w:customStyle="1" w:styleId="CommentSubjectChar">
    <w:name w:val="Comment Subject Char"/>
    <w:basedOn w:val="CommentTextChar"/>
    <w:link w:val="CommentSubject"/>
    <w:uiPriority w:val="99"/>
    <w:semiHidden/>
    <w:rsid w:val="00BA01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1766-C9CE-421F-8CB0-00C9C03A4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1308</Words>
  <Characters>7367</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Ridley</dc:creator>
  <cp:keywords/>
  <dc:description/>
  <cp:lastModifiedBy>Lucy Ridley</cp:lastModifiedBy>
  <cp:revision>2</cp:revision>
  <dcterms:created xsi:type="dcterms:W3CDTF">2025-09-22T09:34:00Z</dcterms:created>
  <dcterms:modified xsi:type="dcterms:W3CDTF">2025-09-22T09:34:00Z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ac16ba53-d575-4bfe-89bc-1e3504406cbd</vt:lpwstr>
  </property>
</Properties>
</file>